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DA06" w14:textId="77777777" w:rsidR="00AB3915" w:rsidRPr="006240A8" w:rsidRDefault="00790399" w:rsidP="008C32E1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C936D" wp14:editId="55D078C4">
                <wp:simplePos x="0" y="0"/>
                <wp:positionH relativeFrom="column">
                  <wp:posOffset>3841750</wp:posOffset>
                </wp:positionH>
                <wp:positionV relativeFrom="paragraph">
                  <wp:posOffset>-683895</wp:posOffset>
                </wp:positionV>
                <wp:extent cx="2828925" cy="571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5B52" w14:textId="77777777" w:rsidR="00787C20" w:rsidRPr="00882CB0" w:rsidRDefault="00787C20" w:rsidP="00AB391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9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-53.85pt;width:222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8ONgIAADk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" stroked="f">
                <v:textbox>
                  <w:txbxContent>
                    <w:p w14:paraId="783A5B52" w14:textId="77777777" w:rsidR="00787C20" w:rsidRPr="00882CB0" w:rsidRDefault="00787C20" w:rsidP="00AB391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14:paraId="6410D23F" w14:textId="73F1E8D5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7C01A6">
        <w:rPr>
          <w:b/>
          <w:sz w:val="32"/>
          <w:szCs w:val="32"/>
        </w:rPr>
        <w:t>201</w:t>
      </w:r>
      <w:r w:rsidR="00E50A68">
        <w:rPr>
          <w:b/>
          <w:sz w:val="32"/>
          <w:szCs w:val="32"/>
        </w:rPr>
        <w:t>9</w:t>
      </w:r>
      <w:r w:rsidR="009B7E0F">
        <w:rPr>
          <w:b/>
          <w:sz w:val="32"/>
          <w:szCs w:val="32"/>
        </w:rPr>
        <w:t>-</w:t>
      </w:r>
      <w:r w:rsidR="00FD23D4">
        <w:rPr>
          <w:b/>
          <w:sz w:val="32"/>
          <w:szCs w:val="32"/>
        </w:rPr>
        <w:t>0</w:t>
      </w:r>
      <w:r w:rsidR="00783AFA">
        <w:rPr>
          <w:b/>
          <w:sz w:val="32"/>
          <w:szCs w:val="32"/>
        </w:rPr>
        <w:t>4</w:t>
      </w:r>
    </w:p>
    <w:p w14:paraId="745EB252" w14:textId="10AC7214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Reliability Standards and </w:t>
      </w:r>
      <w:r w:rsidR="00C21766">
        <w:rPr>
          <w:b/>
          <w:sz w:val="32"/>
          <w:szCs w:val="32"/>
        </w:rPr>
        <w:t xml:space="preserve">Defining </w:t>
      </w:r>
      <w:r w:rsidR="004846D5">
        <w:rPr>
          <w:b/>
          <w:sz w:val="32"/>
          <w:szCs w:val="32"/>
        </w:rPr>
        <w:t>Resilience</w:t>
      </w:r>
    </w:p>
    <w:p w14:paraId="6FEBE228" w14:textId="77777777" w:rsidR="00AB3915" w:rsidRPr="001E1467" w:rsidRDefault="00AB3915" w:rsidP="00665E8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14:paraId="475007CD" w14:textId="77777777" w:rsidR="00AB3915" w:rsidRPr="00665E8F" w:rsidRDefault="00AB3915" w:rsidP="00665E8F">
      <w:pPr>
        <w:spacing w:line="276" w:lineRule="auto"/>
        <w:rPr>
          <w:rFonts w:eastAsia="Times New Roman"/>
          <w:sz w:val="24"/>
          <w:szCs w:val="24"/>
        </w:rPr>
      </w:pPr>
      <w:r w:rsidRPr="00665E8F">
        <w:rPr>
          <w:rFonts w:eastAsia="Times New Roman"/>
          <w:b/>
          <w:bCs/>
          <w:sz w:val="24"/>
          <w:szCs w:val="24"/>
        </w:rPr>
        <w:t>Background</w:t>
      </w:r>
    </w:p>
    <w:p w14:paraId="64481345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182911" w14:textId="1755D9FF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Providing</w:t>
      </w:r>
      <w:r w:rsidR="008847D2" w:rsidRPr="00E368F2">
        <w:rPr>
          <w:rFonts w:asciiTheme="minorHAnsi" w:eastAsia="Times New Roman" w:hAnsiTheme="minorHAnsi" w:cstheme="minorHAnsi"/>
          <w:sz w:val="24"/>
          <w:szCs w:val="24"/>
        </w:rPr>
        <w:t xml:space="preserve"> safe,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reliable electricity at a reasonable pr</w:t>
      </w:r>
      <w:r w:rsidR="00DD248C" w:rsidRPr="00E368F2">
        <w:rPr>
          <w:rFonts w:asciiTheme="minorHAnsi" w:eastAsia="Times New Roman" w:hAnsiTheme="minorHAnsi" w:cstheme="minorHAnsi"/>
          <w:sz w:val="24"/>
          <w:szCs w:val="24"/>
        </w:rPr>
        <w:t>ice while protecting the environ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ment has always been a fundamental responsibility of consumer-owned, not-for-profit </w:t>
      </w:r>
      <w:r w:rsidR="00652E98" w:rsidRPr="00E368F2">
        <w:rPr>
          <w:rFonts w:asciiTheme="minorHAnsi" w:eastAsia="Times New Roman" w:hAnsiTheme="minorHAnsi" w:cstheme="minorHAnsi"/>
          <w:sz w:val="24"/>
          <w:szCs w:val="24"/>
        </w:rPr>
        <w:t xml:space="preserve">electric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utilities. </w:t>
      </w:r>
      <w:commentRangeStart w:id="0"/>
      <w:commentRangeEnd w:id="0"/>
    </w:p>
    <w:p w14:paraId="05EC3357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7A52FE" w14:textId="5398D07F" w:rsidR="0060178B" w:rsidRPr="00E368F2" w:rsidRDefault="00AB3915" w:rsidP="00E368F2">
      <w:pPr>
        <w:spacing w:line="276" w:lineRule="auto"/>
        <w:rPr>
          <w:rFonts w:asciiTheme="minorHAnsi" w:hAnsiTheme="minorHAnsi" w:cstheme="minorHAnsi"/>
          <w:color w:val="000000"/>
          <w:w w:val="106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In the years since Congress adopted mandatory and enforceable reliability standards in the Energy Policy Act of 2005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[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Federal Power Act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(FPA)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section 215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]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, 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the state of reliability has improved significantly by focusing on a risk-based prioritization approach</w:t>
      </w:r>
      <w:r w:rsidR="0078628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to standards development and auditing efforts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. 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However, federal policymakers have become increasingly concerned about the “resilience” of the grid – a term that is generally thought of as the ability to maintain reliability during extreme weather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or other catastrophic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events and to quickly restore power in the wake of a widespread outage, and 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is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sometimes used to refer to the ability to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generation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or facilities </w:t>
      </w:r>
      <w:r w:rsidR="005A339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as assurance against grid failure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.  This subset of reliability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/resilience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issues has been used to justify policy proposals unconnected to the reliability standards-setting process and state and regional resource adequacy regimes. </w:t>
      </w:r>
      <w:r w:rsidR="0078628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  <w:r w:rsidR="00AC7B2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</w:p>
    <w:p w14:paraId="1C62505D" w14:textId="77777777" w:rsidR="000737F4" w:rsidRPr="00E368F2" w:rsidRDefault="000737F4" w:rsidP="00E368F2">
      <w:pPr>
        <w:spacing w:line="276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02B1C147" w14:textId="77777777" w:rsidR="00B4746A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b/>
          <w:bCs/>
          <w:sz w:val="24"/>
          <w:szCs w:val="24"/>
        </w:rPr>
        <w:t>NWPPA’s Position</w:t>
      </w:r>
    </w:p>
    <w:p w14:paraId="78507653" w14:textId="77777777" w:rsidR="009A2531" w:rsidRPr="00E368F2" w:rsidRDefault="009A2531" w:rsidP="00E368F2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</w:p>
    <w:p w14:paraId="41D8592F" w14:textId="4DF1D986" w:rsidR="00447FF3" w:rsidRPr="00E368F2" w:rsidRDefault="00447FF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>NWPPA supports efforts to maintain and improve the reliabili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ty of the nation’s B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ulk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lectric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ystem (BES)</w:t>
      </w: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3E23F29" w14:textId="7BCE5E13" w:rsidR="008847D2" w:rsidRPr="00E368F2" w:rsidRDefault="00B4746A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supports 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 xml:space="preserve">risk-based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reliability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focus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ing </w:t>
      </w:r>
      <w:r w:rsidRPr="00E368F2">
        <w:rPr>
          <w:rFonts w:asciiTheme="minorHAnsi" w:eastAsia="Times New Roman" w:hAnsiTheme="minorHAnsi" w:cstheme="minorHAnsi"/>
          <w:sz w:val="24"/>
          <w:szCs w:val="24"/>
          <w:u w:val="single"/>
        </w:rPr>
        <w:t>only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on facilities and entities that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are </w:t>
      </w:r>
      <w:r w:rsidR="004E585A" w:rsidRPr="00E368F2">
        <w:rPr>
          <w:rFonts w:asciiTheme="minorHAnsi" w:eastAsia="Times New Roman" w:hAnsiTheme="minorHAnsi" w:cstheme="minorHAnsi"/>
          <w:sz w:val="24"/>
          <w:szCs w:val="24"/>
        </w:rPr>
        <w:t>critical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 to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lity of the BES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per Section 215 of the </w:t>
      </w:r>
      <w:r w:rsidR="00B5620E" w:rsidRPr="00E368F2">
        <w:rPr>
          <w:rFonts w:asciiTheme="minorHAnsi" w:eastAsia="Times New Roman" w:hAnsiTheme="minorHAnsi" w:cstheme="minorHAnsi"/>
          <w:sz w:val="24"/>
          <w:szCs w:val="24"/>
        </w:rPr>
        <w:t>FPA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25FB94" w14:textId="554DFA47" w:rsidR="004846D5" w:rsidRPr="00E368F2" w:rsidRDefault="007E236F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policymakers to engage </w:t>
      </w:r>
      <w:r w:rsidR="005A339E" w:rsidRPr="00E368F2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industry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defin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“resilience” before adopting any policy related to grid reliability outside the existing standards-setting process.</w:t>
      </w:r>
    </w:p>
    <w:p w14:paraId="399DCEA1" w14:textId="00D02DFC" w:rsidR="007E236F" w:rsidRPr="00E368F2" w:rsidRDefault="004846D5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>urges p</w:t>
      </w:r>
      <w:bookmarkStart w:id="1" w:name="_GoBack"/>
      <w:bookmarkEnd w:id="1"/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>olicymakers to ensure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any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 new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resilience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policies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do not adversely impact the ability of local utilities to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manage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their respective distribution-level facilities in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a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safe and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>cost-effective manner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60CBBF2" w14:textId="711672FF" w:rsidR="00E2397A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NWPPA supports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>working relationship</w:t>
      </w:r>
      <w:r w:rsidR="00F15FC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between</w:t>
      </w:r>
      <w:r w:rsidR="004628A3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F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ederal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nergy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R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egulatory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C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ommission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, NERC, the regional reliability organizations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nd the electric utility industry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in defining resilience, and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to identify and reduce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un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nec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ssary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 or duplicative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and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compliance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documentation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does not directly impact the reliability of the BES</w:t>
      </w:r>
      <w:r w:rsidR="00E2397A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931B5D" w14:textId="2D6D2CC9" w:rsidR="000B6696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lastRenderedPageBreak/>
        <w:t xml:space="preserve">NWPPA supports </w:t>
      </w:r>
      <w:r w:rsidR="009B05FD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the development </w:t>
      </w:r>
      <w:r w:rsidR="00F15FCB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of appropriate regional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reliability standards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based 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upon the operating characteristics of 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regional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power grid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as defined by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local and regional expert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9B05FD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>.</w:t>
      </w:r>
      <w:r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</w:t>
      </w:r>
    </w:p>
    <w:p w14:paraId="638DA0B7" w14:textId="08EC4FA9" w:rsidR="008132CF" w:rsidRPr="00E368F2" w:rsidRDefault="008132CF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NWPPA supports </w:t>
      </w:r>
      <w:r w:rsidR="00520647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>the</w:t>
      </w: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 industry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-led standard development process and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advocates for NERC’s 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role as the lead to assure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reliability of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the BES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5B75D4" w14:textId="6B869C70" w:rsidR="00C31B53" w:rsidRPr="00E368F2" w:rsidRDefault="00C31B5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7E444D" w:rsidRPr="00E368F2">
        <w:rPr>
          <w:rFonts w:asciiTheme="minorHAnsi" w:eastAsia="Times New Roman" w:hAnsiTheme="minorHAnsi" w:cstheme="minorHAnsi"/>
          <w:sz w:val="24"/>
          <w:szCs w:val="24"/>
        </w:rPr>
        <w:t xml:space="preserve">consistent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 application 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and guidance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>from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FERC, NERC, and regional reliability organizations.  </w:t>
      </w:r>
    </w:p>
    <w:p w14:paraId="0EC42EB2" w14:textId="77777777" w:rsidR="00FC3A9B" w:rsidRPr="00F44D29" w:rsidRDefault="00FC3A9B" w:rsidP="00AB3915">
      <w:pPr>
        <w:rPr>
          <w:rFonts w:asciiTheme="minorHAnsi" w:eastAsia="Times New Roman" w:hAnsiTheme="minorHAnsi" w:cstheme="minorHAnsi"/>
        </w:rPr>
      </w:pPr>
    </w:p>
    <w:p w14:paraId="17400CA0" w14:textId="5596F660" w:rsidR="00AB3915" w:rsidRPr="00E368F2" w:rsidRDefault="00FA1945" w:rsidP="00AB3915">
      <w:pPr>
        <w:rPr>
          <w:rFonts w:eastAsia="Times New Roman" w:cs="Calibri"/>
          <w:sz w:val="24"/>
          <w:szCs w:val="24"/>
        </w:rPr>
      </w:pPr>
      <w:r w:rsidRPr="00665E8F">
        <w:rPr>
          <w:rFonts w:eastAsia="Times New Roman" w:cs="Calibri"/>
          <w:sz w:val="24"/>
          <w:szCs w:val="24"/>
        </w:rPr>
        <w:t>Origination Date: 2011. Revised in 2012, 2014, 2016</w:t>
      </w:r>
      <w:r w:rsidR="00C21766" w:rsidRPr="00665E8F">
        <w:rPr>
          <w:rFonts w:eastAsia="Times New Roman" w:cs="Calibri"/>
          <w:sz w:val="24"/>
          <w:szCs w:val="24"/>
        </w:rPr>
        <w:t>, 2017</w:t>
      </w:r>
      <w:r w:rsidR="00E50A68">
        <w:rPr>
          <w:rFonts w:eastAsia="Times New Roman" w:cs="Calibri"/>
          <w:sz w:val="24"/>
          <w:szCs w:val="24"/>
        </w:rPr>
        <w:t>,</w:t>
      </w:r>
      <w:r w:rsidRPr="00665E8F">
        <w:rPr>
          <w:rFonts w:eastAsia="Times New Roman" w:cs="Calibri"/>
          <w:sz w:val="24"/>
          <w:szCs w:val="24"/>
        </w:rPr>
        <w:t xml:space="preserve"> 201</w:t>
      </w:r>
      <w:r w:rsidR="00C21766" w:rsidRPr="00665E8F">
        <w:rPr>
          <w:rFonts w:eastAsia="Times New Roman" w:cs="Calibri"/>
          <w:sz w:val="24"/>
          <w:szCs w:val="24"/>
        </w:rPr>
        <w:t>8</w:t>
      </w:r>
      <w:r w:rsidR="00E50A68">
        <w:rPr>
          <w:rFonts w:eastAsia="Times New Roman" w:cs="Calibri"/>
          <w:sz w:val="24"/>
          <w:szCs w:val="24"/>
        </w:rPr>
        <w:t xml:space="preserve"> and 2019.</w:t>
      </w:r>
    </w:p>
    <w:sectPr w:rsidR="00AB3915" w:rsidRPr="00E368F2" w:rsidSect="00FD1C5E">
      <w:headerReference w:type="even" r:id="rId9"/>
      <w:footerReference w:type="default" r:id="rId10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935A" w14:textId="77777777" w:rsidR="000B3234" w:rsidRDefault="000B3234" w:rsidP="00AB3915">
      <w:r>
        <w:separator/>
      </w:r>
    </w:p>
  </w:endnote>
  <w:endnote w:type="continuationSeparator" w:id="0">
    <w:p w14:paraId="19C2EFD2" w14:textId="77777777" w:rsidR="000B3234" w:rsidRDefault="000B3234" w:rsidP="00AB3915">
      <w:r>
        <w:continuationSeparator/>
      </w:r>
    </w:p>
  </w:endnote>
  <w:endnote w:type="continuationNotice" w:id="1">
    <w:p w14:paraId="0115147A" w14:textId="77777777" w:rsidR="000B3234" w:rsidRDefault="000B3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81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35CDB" w14:textId="509BC607" w:rsidR="00FD1C5E" w:rsidRDefault="00FD1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CD06F" w14:textId="77777777" w:rsidR="00FD1C5E" w:rsidRDefault="00FD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11E8" w14:textId="77777777" w:rsidR="000B3234" w:rsidRDefault="000B3234" w:rsidP="00AB3915">
      <w:r>
        <w:separator/>
      </w:r>
    </w:p>
  </w:footnote>
  <w:footnote w:type="continuationSeparator" w:id="0">
    <w:p w14:paraId="21211AFB" w14:textId="77777777" w:rsidR="000B3234" w:rsidRDefault="000B3234" w:rsidP="00AB3915">
      <w:r>
        <w:continuationSeparator/>
      </w:r>
    </w:p>
  </w:footnote>
  <w:footnote w:type="continuationNotice" w:id="1">
    <w:p w14:paraId="4E82334C" w14:textId="77777777" w:rsidR="000B3234" w:rsidRDefault="000B3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880A" w14:textId="47D2319C" w:rsidR="00097EC7" w:rsidRDefault="00097EC7" w:rsidP="00AB3915">
    <w:pPr>
      <w:pStyle w:val="Header"/>
      <w:jc w:val="center"/>
    </w:pPr>
    <w:r>
      <w:t xml:space="preserve">Page 2- Reliability Standards and </w:t>
    </w:r>
    <w:r w:rsidR="00665E8F">
      <w:t>Defining Resilience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BA0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0BD"/>
    <w:multiLevelType w:val="hybridMultilevel"/>
    <w:tmpl w:val="5B0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B0"/>
    <w:rsid w:val="00004186"/>
    <w:rsid w:val="000154B9"/>
    <w:rsid w:val="00064EEB"/>
    <w:rsid w:val="000737F4"/>
    <w:rsid w:val="00092809"/>
    <w:rsid w:val="00097EC7"/>
    <w:rsid w:val="000B3234"/>
    <w:rsid w:val="000B4D66"/>
    <w:rsid w:val="000B6696"/>
    <w:rsid w:val="000C024C"/>
    <w:rsid w:val="000C351F"/>
    <w:rsid w:val="000F2C73"/>
    <w:rsid w:val="000F33C3"/>
    <w:rsid w:val="0011355E"/>
    <w:rsid w:val="00151629"/>
    <w:rsid w:val="0015180A"/>
    <w:rsid w:val="00162974"/>
    <w:rsid w:val="00170B7A"/>
    <w:rsid w:val="00177873"/>
    <w:rsid w:val="00180E9E"/>
    <w:rsid w:val="00194346"/>
    <w:rsid w:val="001B42C2"/>
    <w:rsid w:val="001B5CAA"/>
    <w:rsid w:val="001C599C"/>
    <w:rsid w:val="001D0438"/>
    <w:rsid w:val="001D457C"/>
    <w:rsid w:val="001D4828"/>
    <w:rsid w:val="001E1467"/>
    <w:rsid w:val="001E6581"/>
    <w:rsid w:val="0020084D"/>
    <w:rsid w:val="00215A85"/>
    <w:rsid w:val="0021686A"/>
    <w:rsid w:val="00246ED9"/>
    <w:rsid w:val="00254AE8"/>
    <w:rsid w:val="0026111A"/>
    <w:rsid w:val="002A1283"/>
    <w:rsid w:val="002C3EBA"/>
    <w:rsid w:val="002F345D"/>
    <w:rsid w:val="002F5E53"/>
    <w:rsid w:val="00304F94"/>
    <w:rsid w:val="0032015E"/>
    <w:rsid w:val="0034363F"/>
    <w:rsid w:val="0034554C"/>
    <w:rsid w:val="00352227"/>
    <w:rsid w:val="00363114"/>
    <w:rsid w:val="00373D0A"/>
    <w:rsid w:val="003774AF"/>
    <w:rsid w:val="00382C88"/>
    <w:rsid w:val="003B430A"/>
    <w:rsid w:val="003D14A4"/>
    <w:rsid w:val="003D7E07"/>
    <w:rsid w:val="003E6D90"/>
    <w:rsid w:val="00432CA0"/>
    <w:rsid w:val="00447FF3"/>
    <w:rsid w:val="004628A3"/>
    <w:rsid w:val="00465520"/>
    <w:rsid w:val="004819AA"/>
    <w:rsid w:val="004846D5"/>
    <w:rsid w:val="00486EFF"/>
    <w:rsid w:val="004A470C"/>
    <w:rsid w:val="004E585A"/>
    <w:rsid w:val="005047DB"/>
    <w:rsid w:val="00506ED7"/>
    <w:rsid w:val="00520647"/>
    <w:rsid w:val="005252D2"/>
    <w:rsid w:val="005365B1"/>
    <w:rsid w:val="00537693"/>
    <w:rsid w:val="005379C1"/>
    <w:rsid w:val="005438E3"/>
    <w:rsid w:val="00544DB8"/>
    <w:rsid w:val="00546900"/>
    <w:rsid w:val="00550E31"/>
    <w:rsid w:val="00551179"/>
    <w:rsid w:val="00593046"/>
    <w:rsid w:val="005A339E"/>
    <w:rsid w:val="005B519F"/>
    <w:rsid w:val="005C5580"/>
    <w:rsid w:val="005D3AF4"/>
    <w:rsid w:val="005D4021"/>
    <w:rsid w:val="005F145D"/>
    <w:rsid w:val="0060178B"/>
    <w:rsid w:val="006378B6"/>
    <w:rsid w:val="0065043D"/>
    <w:rsid w:val="00651643"/>
    <w:rsid w:val="00652E98"/>
    <w:rsid w:val="00665E8F"/>
    <w:rsid w:val="0068137C"/>
    <w:rsid w:val="006A5B48"/>
    <w:rsid w:val="006C212D"/>
    <w:rsid w:val="006E3B75"/>
    <w:rsid w:val="006F1592"/>
    <w:rsid w:val="007039E9"/>
    <w:rsid w:val="007054AF"/>
    <w:rsid w:val="00720761"/>
    <w:rsid w:val="00733D0D"/>
    <w:rsid w:val="00754D21"/>
    <w:rsid w:val="00775967"/>
    <w:rsid w:val="00783AFA"/>
    <w:rsid w:val="007848FA"/>
    <w:rsid w:val="00786280"/>
    <w:rsid w:val="00787C20"/>
    <w:rsid w:val="00790399"/>
    <w:rsid w:val="007B60DB"/>
    <w:rsid w:val="007C01A6"/>
    <w:rsid w:val="007C7BB5"/>
    <w:rsid w:val="007E236F"/>
    <w:rsid w:val="007E444D"/>
    <w:rsid w:val="007F4CE7"/>
    <w:rsid w:val="00803766"/>
    <w:rsid w:val="00810A3D"/>
    <w:rsid w:val="008132CF"/>
    <w:rsid w:val="008205E1"/>
    <w:rsid w:val="008211B2"/>
    <w:rsid w:val="00825B9F"/>
    <w:rsid w:val="00846D9F"/>
    <w:rsid w:val="00851051"/>
    <w:rsid w:val="008553F1"/>
    <w:rsid w:val="00880956"/>
    <w:rsid w:val="0088225F"/>
    <w:rsid w:val="00882CB0"/>
    <w:rsid w:val="008847D2"/>
    <w:rsid w:val="008B04BB"/>
    <w:rsid w:val="008C32E1"/>
    <w:rsid w:val="00916C95"/>
    <w:rsid w:val="0092645C"/>
    <w:rsid w:val="009270AA"/>
    <w:rsid w:val="009534EC"/>
    <w:rsid w:val="009579AF"/>
    <w:rsid w:val="00971BAD"/>
    <w:rsid w:val="00977072"/>
    <w:rsid w:val="009970B4"/>
    <w:rsid w:val="009A2531"/>
    <w:rsid w:val="009A4DBF"/>
    <w:rsid w:val="009B05FD"/>
    <w:rsid w:val="009B7E0F"/>
    <w:rsid w:val="009C0989"/>
    <w:rsid w:val="009C16D1"/>
    <w:rsid w:val="009C1A1D"/>
    <w:rsid w:val="009E1D13"/>
    <w:rsid w:val="009E5B5C"/>
    <w:rsid w:val="009F68EA"/>
    <w:rsid w:val="00A110C4"/>
    <w:rsid w:val="00A12DCF"/>
    <w:rsid w:val="00A23235"/>
    <w:rsid w:val="00A37AC3"/>
    <w:rsid w:val="00A402A5"/>
    <w:rsid w:val="00A57244"/>
    <w:rsid w:val="00A7595B"/>
    <w:rsid w:val="00A76D9E"/>
    <w:rsid w:val="00AA3246"/>
    <w:rsid w:val="00AB3915"/>
    <w:rsid w:val="00AC3A9E"/>
    <w:rsid w:val="00AC7B20"/>
    <w:rsid w:val="00B342D6"/>
    <w:rsid w:val="00B41546"/>
    <w:rsid w:val="00B45A89"/>
    <w:rsid w:val="00B4746A"/>
    <w:rsid w:val="00B5620E"/>
    <w:rsid w:val="00B951D6"/>
    <w:rsid w:val="00BA0099"/>
    <w:rsid w:val="00BC4253"/>
    <w:rsid w:val="00BE644E"/>
    <w:rsid w:val="00C172B8"/>
    <w:rsid w:val="00C21766"/>
    <w:rsid w:val="00C26993"/>
    <w:rsid w:val="00C31B53"/>
    <w:rsid w:val="00C756CA"/>
    <w:rsid w:val="00C93AEC"/>
    <w:rsid w:val="00CC5EDC"/>
    <w:rsid w:val="00CE46DC"/>
    <w:rsid w:val="00CF426E"/>
    <w:rsid w:val="00D018A4"/>
    <w:rsid w:val="00D23DAB"/>
    <w:rsid w:val="00D35A9E"/>
    <w:rsid w:val="00D47B13"/>
    <w:rsid w:val="00D55724"/>
    <w:rsid w:val="00D722F8"/>
    <w:rsid w:val="00D85C00"/>
    <w:rsid w:val="00DB304C"/>
    <w:rsid w:val="00DD248C"/>
    <w:rsid w:val="00DF140D"/>
    <w:rsid w:val="00DF6ADF"/>
    <w:rsid w:val="00E03FFA"/>
    <w:rsid w:val="00E06472"/>
    <w:rsid w:val="00E22F31"/>
    <w:rsid w:val="00E2397A"/>
    <w:rsid w:val="00E368F2"/>
    <w:rsid w:val="00E44F21"/>
    <w:rsid w:val="00E50A68"/>
    <w:rsid w:val="00E55284"/>
    <w:rsid w:val="00E86286"/>
    <w:rsid w:val="00E964C3"/>
    <w:rsid w:val="00ED6BB5"/>
    <w:rsid w:val="00F10A54"/>
    <w:rsid w:val="00F10D26"/>
    <w:rsid w:val="00F15FCB"/>
    <w:rsid w:val="00F44D29"/>
    <w:rsid w:val="00F456B3"/>
    <w:rsid w:val="00F46EDF"/>
    <w:rsid w:val="00F56B31"/>
    <w:rsid w:val="00F616CE"/>
    <w:rsid w:val="00F81D25"/>
    <w:rsid w:val="00F94780"/>
    <w:rsid w:val="00FA1945"/>
    <w:rsid w:val="00FA6036"/>
    <w:rsid w:val="00FB5676"/>
    <w:rsid w:val="00FC2FBC"/>
    <w:rsid w:val="00FC3A9B"/>
    <w:rsid w:val="00FD061D"/>
    <w:rsid w:val="00FD1C5E"/>
    <w:rsid w:val="00FD23D4"/>
    <w:rsid w:val="00FD3D51"/>
    <w:rsid w:val="00FE0745"/>
    <w:rsid w:val="00FE5954"/>
    <w:rsid w:val="00FE7C3D"/>
    <w:rsid w:val="00FF1042"/>
    <w:rsid w:val="00FF1B58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D138D"/>
  <w15:docId w15:val="{AE795C8B-7B00-4C8E-BD57-6AEA71E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0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766"/>
    <w:rPr>
      <w:b/>
      <w:bCs/>
    </w:rPr>
  </w:style>
  <w:style w:type="paragraph" w:styleId="Revision">
    <w:name w:val="Revision"/>
    <w:hidden/>
    <w:uiPriority w:val="71"/>
    <w:rsid w:val="007C01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4F75-17DA-438F-AF60-C9D16138A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C94C6-8807-4F91-9A45-6D7F581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Nicole Case</cp:lastModifiedBy>
  <cp:revision>2</cp:revision>
  <cp:lastPrinted>2018-02-08T20:35:00Z</cp:lastPrinted>
  <dcterms:created xsi:type="dcterms:W3CDTF">2019-02-12T22:22:00Z</dcterms:created>
  <dcterms:modified xsi:type="dcterms:W3CDTF">2019-02-12T22:22:00Z</dcterms:modified>
</cp:coreProperties>
</file>