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3D" w:rsidRPr="0039203D" w:rsidRDefault="0039203D" w:rsidP="0039203D">
      <w:pPr>
        <w:jc w:val="center"/>
        <w:rPr>
          <w:b/>
          <w:noProof/>
          <w:sz w:val="32"/>
          <w:szCs w:val="32"/>
        </w:rPr>
      </w:pPr>
      <w:bookmarkStart w:id="0" w:name="_GoBack"/>
      <w:bookmarkEnd w:id="0"/>
      <w:r w:rsidRPr="0039203D">
        <w:rPr>
          <w:b/>
          <w:bCs/>
          <w:noProof/>
          <w:sz w:val="32"/>
          <w:szCs w:val="32"/>
        </w:rPr>
        <w:t>Northwest Public Power Association</w:t>
      </w:r>
    </w:p>
    <w:p w:rsidR="0039203D" w:rsidRPr="0039203D" w:rsidRDefault="0039203D" w:rsidP="0039203D">
      <w:pPr>
        <w:jc w:val="center"/>
        <w:rPr>
          <w:b/>
          <w:noProof/>
          <w:sz w:val="32"/>
          <w:szCs w:val="32"/>
        </w:rPr>
      </w:pPr>
      <w:r>
        <w:rPr>
          <w:b/>
          <w:bCs/>
          <w:noProof/>
          <w:sz w:val="32"/>
          <w:szCs w:val="32"/>
        </w:rPr>
        <w:t>Resolution 2017</w:t>
      </w:r>
      <w:r w:rsidRPr="0039203D">
        <w:rPr>
          <w:b/>
          <w:bCs/>
          <w:noProof/>
          <w:sz w:val="32"/>
          <w:szCs w:val="32"/>
        </w:rPr>
        <w:t>‐15</w:t>
      </w:r>
    </w:p>
    <w:p w:rsidR="0039203D" w:rsidRPr="0039203D" w:rsidRDefault="0039203D" w:rsidP="0039203D">
      <w:pPr>
        <w:jc w:val="center"/>
        <w:rPr>
          <w:b/>
          <w:noProof/>
          <w:sz w:val="32"/>
          <w:szCs w:val="32"/>
        </w:rPr>
      </w:pPr>
      <w:r w:rsidRPr="0039203D">
        <w:rPr>
          <w:b/>
          <w:bCs/>
          <w:noProof/>
          <w:sz w:val="32"/>
          <w:szCs w:val="32"/>
        </w:rPr>
        <w:t>Ensuring Adequate Federal Funds to Combat Catastrophic Wildfires</w:t>
      </w:r>
    </w:p>
    <w:p w:rsidR="0039203D" w:rsidRPr="0039203D" w:rsidRDefault="0039203D" w:rsidP="0039203D">
      <w:pPr>
        <w:rPr>
          <w:noProof/>
          <w:sz w:val="24"/>
          <w:szCs w:val="24"/>
        </w:rPr>
      </w:pPr>
    </w:p>
    <w:p w:rsidR="0039203D" w:rsidRDefault="0039203D" w:rsidP="0039203D">
      <w:pPr>
        <w:rPr>
          <w:b/>
          <w:bCs/>
          <w:noProof/>
          <w:sz w:val="24"/>
          <w:szCs w:val="24"/>
        </w:rPr>
      </w:pPr>
      <w:r w:rsidRPr="00957827">
        <w:rPr>
          <w:b/>
          <w:bCs/>
          <w:noProof/>
          <w:sz w:val="24"/>
          <w:szCs w:val="24"/>
        </w:rPr>
        <w:t>Background</w:t>
      </w:r>
    </w:p>
    <w:p w:rsidR="00957827" w:rsidRPr="0039203D" w:rsidRDefault="00957827" w:rsidP="0039203D">
      <w:pPr>
        <w:rPr>
          <w:noProof/>
          <w:sz w:val="24"/>
          <w:szCs w:val="24"/>
        </w:rPr>
      </w:pPr>
    </w:p>
    <w:p w:rsidR="007E38B6" w:rsidRDefault="00957827" w:rsidP="00957827">
      <w:pPr>
        <w:rPr>
          <w:noProof/>
          <w:sz w:val="24"/>
          <w:szCs w:val="24"/>
        </w:rPr>
      </w:pPr>
      <w:r>
        <w:rPr>
          <w:noProof/>
          <w:sz w:val="24"/>
          <w:szCs w:val="24"/>
        </w:rPr>
        <w:t>F</w:t>
      </w:r>
      <w:r w:rsidR="0039203D" w:rsidRPr="0039203D">
        <w:rPr>
          <w:noProof/>
          <w:sz w:val="24"/>
          <w:szCs w:val="24"/>
        </w:rPr>
        <w:t xml:space="preserve">ires in the West </w:t>
      </w:r>
      <w:r>
        <w:rPr>
          <w:noProof/>
          <w:sz w:val="24"/>
          <w:szCs w:val="24"/>
        </w:rPr>
        <w:t xml:space="preserve">have </w:t>
      </w:r>
      <w:r w:rsidR="0039203D" w:rsidRPr="0039203D">
        <w:rPr>
          <w:noProof/>
          <w:sz w:val="24"/>
          <w:szCs w:val="24"/>
        </w:rPr>
        <w:t xml:space="preserve">had a devastating impact on natural resources, property, and lives—including public power facilities and employees. </w:t>
      </w:r>
      <w:r w:rsidR="007E38B6" w:rsidRPr="0039203D">
        <w:rPr>
          <w:noProof/>
          <w:sz w:val="24"/>
          <w:szCs w:val="24"/>
        </w:rPr>
        <w:t>Generating units, transmission and distribution lines</w:t>
      </w:r>
      <w:r w:rsidR="007E38B6">
        <w:rPr>
          <w:noProof/>
          <w:sz w:val="24"/>
          <w:szCs w:val="24"/>
        </w:rPr>
        <w:t>, communications equipment, and</w:t>
      </w:r>
      <w:r w:rsidR="007E38B6" w:rsidRPr="0039203D">
        <w:rPr>
          <w:noProof/>
          <w:sz w:val="24"/>
          <w:szCs w:val="24"/>
        </w:rPr>
        <w:t xml:space="preserve"> utility buildings </w:t>
      </w:r>
      <w:r w:rsidR="007E38B6">
        <w:rPr>
          <w:noProof/>
          <w:sz w:val="24"/>
          <w:szCs w:val="24"/>
        </w:rPr>
        <w:t xml:space="preserve">have been </w:t>
      </w:r>
      <w:r w:rsidR="008176E1">
        <w:rPr>
          <w:noProof/>
          <w:sz w:val="24"/>
          <w:szCs w:val="24"/>
        </w:rPr>
        <w:t xml:space="preserve">adversely </w:t>
      </w:r>
      <w:r w:rsidR="007E38B6">
        <w:rPr>
          <w:noProof/>
          <w:sz w:val="24"/>
          <w:szCs w:val="24"/>
        </w:rPr>
        <w:t>affected by</w:t>
      </w:r>
      <w:r w:rsidR="007E38B6" w:rsidRPr="0039203D">
        <w:rPr>
          <w:noProof/>
          <w:sz w:val="24"/>
          <w:szCs w:val="24"/>
        </w:rPr>
        <w:t xml:space="preserve"> recent fires. </w:t>
      </w:r>
      <w:r w:rsidR="0039203D" w:rsidRPr="0039203D">
        <w:rPr>
          <w:noProof/>
          <w:sz w:val="24"/>
          <w:szCs w:val="24"/>
        </w:rPr>
        <w:t>The significant carbon emissions of fires</w:t>
      </w:r>
      <w:r w:rsidR="007E38B6">
        <w:rPr>
          <w:noProof/>
          <w:sz w:val="24"/>
          <w:szCs w:val="24"/>
        </w:rPr>
        <w:t xml:space="preserve"> – from burning vegetation and damaged trees left to decay, accounting for roughly one-fifth of total man-made emissions –</w:t>
      </w:r>
      <w:r w:rsidR="0039203D" w:rsidRPr="0039203D">
        <w:rPr>
          <w:noProof/>
          <w:sz w:val="24"/>
          <w:szCs w:val="24"/>
        </w:rPr>
        <w:t xml:space="preserve"> </w:t>
      </w:r>
      <w:r w:rsidR="007E38B6">
        <w:rPr>
          <w:noProof/>
          <w:sz w:val="24"/>
          <w:szCs w:val="24"/>
        </w:rPr>
        <w:t xml:space="preserve">also </w:t>
      </w:r>
      <w:r w:rsidR="0039203D" w:rsidRPr="0039203D">
        <w:rPr>
          <w:noProof/>
          <w:sz w:val="24"/>
          <w:szCs w:val="24"/>
        </w:rPr>
        <w:t xml:space="preserve">undermine utility efforts to reduce greenhouse gas emissions. </w:t>
      </w:r>
    </w:p>
    <w:p w:rsidR="0039203D" w:rsidRPr="0039203D" w:rsidRDefault="0039203D" w:rsidP="0039203D">
      <w:pPr>
        <w:rPr>
          <w:noProof/>
          <w:sz w:val="24"/>
          <w:szCs w:val="24"/>
        </w:rPr>
      </w:pPr>
    </w:p>
    <w:p w:rsidR="0039203D" w:rsidRPr="0039203D" w:rsidRDefault="0039203D" w:rsidP="00957827">
      <w:pPr>
        <w:rPr>
          <w:noProof/>
          <w:sz w:val="24"/>
          <w:szCs w:val="24"/>
        </w:rPr>
      </w:pPr>
      <w:r w:rsidRPr="0039203D">
        <w:rPr>
          <w:noProof/>
          <w:sz w:val="24"/>
          <w:szCs w:val="24"/>
        </w:rPr>
        <w:t>Under federal law, the Departments of Agriculture and Interior forecast fire suppression budgets based on an average of the past ten years’ spending. When budgeted funds are inadequate, as frequently occurs, the agencies take funds from other accounts—including funds that are needed f</w:t>
      </w:r>
      <w:r w:rsidR="00957827">
        <w:rPr>
          <w:noProof/>
          <w:sz w:val="24"/>
          <w:szCs w:val="24"/>
        </w:rPr>
        <w:t>or forest management to prevent</w:t>
      </w:r>
      <w:r w:rsidRPr="0039203D">
        <w:rPr>
          <w:noProof/>
          <w:sz w:val="24"/>
          <w:szCs w:val="24"/>
        </w:rPr>
        <w:t xml:space="preserve"> future fires </w:t>
      </w:r>
      <w:r w:rsidR="007E38B6" w:rsidRPr="0039203D">
        <w:rPr>
          <w:noProof/>
          <w:sz w:val="24"/>
          <w:szCs w:val="24"/>
        </w:rPr>
        <w:t>a</w:t>
      </w:r>
      <w:r w:rsidR="007E38B6">
        <w:rPr>
          <w:noProof/>
          <w:sz w:val="24"/>
          <w:szCs w:val="24"/>
        </w:rPr>
        <w:t>s well as</w:t>
      </w:r>
      <w:r w:rsidR="007E38B6" w:rsidRPr="0039203D">
        <w:rPr>
          <w:noProof/>
          <w:sz w:val="24"/>
          <w:szCs w:val="24"/>
        </w:rPr>
        <w:t xml:space="preserve"> </w:t>
      </w:r>
      <w:r w:rsidRPr="0039203D">
        <w:rPr>
          <w:noProof/>
          <w:sz w:val="24"/>
          <w:szCs w:val="24"/>
        </w:rPr>
        <w:t>funds needed to properly restore the forest aft</w:t>
      </w:r>
      <w:r w:rsidR="00957827">
        <w:rPr>
          <w:noProof/>
          <w:sz w:val="24"/>
          <w:szCs w:val="24"/>
        </w:rPr>
        <w:t xml:space="preserve">er a fire. </w:t>
      </w:r>
      <w:r w:rsidR="007E38B6">
        <w:rPr>
          <w:noProof/>
          <w:sz w:val="24"/>
          <w:szCs w:val="24"/>
        </w:rPr>
        <w:t xml:space="preserve"> </w:t>
      </w:r>
      <w:r w:rsidR="007E38B6" w:rsidRPr="0039203D">
        <w:rPr>
          <w:noProof/>
          <w:sz w:val="24"/>
          <w:szCs w:val="24"/>
        </w:rPr>
        <w:t>This funding scheme i</w:t>
      </w:r>
      <w:r w:rsidR="007E38B6">
        <w:rPr>
          <w:noProof/>
          <w:sz w:val="24"/>
          <w:szCs w:val="24"/>
        </w:rPr>
        <w:t>s deeply flawed: the</w:t>
      </w:r>
      <w:r w:rsidR="00957827">
        <w:rPr>
          <w:noProof/>
          <w:sz w:val="24"/>
          <w:szCs w:val="24"/>
        </w:rPr>
        <w:t xml:space="preserve"> cycle of “fire‐</w:t>
      </w:r>
      <w:r w:rsidRPr="0039203D">
        <w:rPr>
          <w:noProof/>
          <w:sz w:val="24"/>
          <w:szCs w:val="24"/>
        </w:rPr>
        <w:t>borrowing” denies the agencies of critical funds needed to mai</w:t>
      </w:r>
      <w:r w:rsidR="00957827">
        <w:rPr>
          <w:noProof/>
          <w:sz w:val="24"/>
          <w:szCs w:val="24"/>
        </w:rPr>
        <w:t>ntain healthy forests and leads</w:t>
      </w:r>
      <w:r w:rsidRPr="0039203D">
        <w:rPr>
          <w:noProof/>
          <w:sz w:val="24"/>
          <w:szCs w:val="24"/>
        </w:rPr>
        <w:t xml:space="preserve"> to more devastating fires and continued depletion of forest management funds. </w:t>
      </w:r>
    </w:p>
    <w:p w:rsidR="0039203D" w:rsidRPr="0039203D" w:rsidRDefault="0039203D" w:rsidP="0039203D">
      <w:pPr>
        <w:rPr>
          <w:noProof/>
          <w:sz w:val="24"/>
          <w:szCs w:val="24"/>
        </w:rPr>
      </w:pPr>
    </w:p>
    <w:p w:rsidR="0039203D" w:rsidRPr="0039203D" w:rsidRDefault="007E38B6" w:rsidP="00957827">
      <w:pPr>
        <w:rPr>
          <w:noProof/>
          <w:sz w:val="24"/>
          <w:szCs w:val="24"/>
        </w:rPr>
      </w:pPr>
      <w:r w:rsidRPr="0039203D">
        <w:rPr>
          <w:noProof/>
          <w:sz w:val="24"/>
          <w:szCs w:val="24"/>
        </w:rPr>
        <w:t>Federal wildfire management needs to be overhauled to boost funding, prevent the raiding o</w:t>
      </w:r>
      <w:r>
        <w:rPr>
          <w:noProof/>
          <w:sz w:val="24"/>
          <w:szCs w:val="24"/>
        </w:rPr>
        <w:t>f needed fire prevention funds,</w:t>
      </w:r>
      <w:r w:rsidR="005A0D1D">
        <w:rPr>
          <w:noProof/>
          <w:sz w:val="24"/>
          <w:szCs w:val="24"/>
        </w:rPr>
        <w:t xml:space="preserve"> </w:t>
      </w:r>
      <w:r w:rsidRPr="0039203D">
        <w:rPr>
          <w:noProof/>
          <w:sz w:val="24"/>
          <w:szCs w:val="24"/>
        </w:rPr>
        <w:t>and treat the most devastating fires as natural disasters.  </w:t>
      </w:r>
      <w:r w:rsidR="0039203D" w:rsidRPr="0039203D">
        <w:rPr>
          <w:noProof/>
          <w:sz w:val="24"/>
          <w:szCs w:val="24"/>
        </w:rPr>
        <w:t>Bipartisan legislation has been introduced in Congress t</w:t>
      </w:r>
      <w:r w:rsidR="00957827">
        <w:rPr>
          <w:noProof/>
          <w:sz w:val="24"/>
          <w:szCs w:val="24"/>
        </w:rPr>
        <w:t>o ensure adequate and equitable</w:t>
      </w:r>
      <w:r w:rsidR="0039203D" w:rsidRPr="0039203D">
        <w:rPr>
          <w:noProof/>
          <w:sz w:val="24"/>
          <w:szCs w:val="24"/>
        </w:rPr>
        <w:t> funding for major fires. Under this legislation, catastrophi</w:t>
      </w:r>
      <w:r w:rsidR="00957827">
        <w:rPr>
          <w:noProof/>
          <w:sz w:val="24"/>
          <w:szCs w:val="24"/>
        </w:rPr>
        <w:t>c fires would be funded under a</w:t>
      </w:r>
      <w:r w:rsidR="0039203D" w:rsidRPr="0039203D">
        <w:rPr>
          <w:noProof/>
          <w:sz w:val="24"/>
          <w:szCs w:val="24"/>
        </w:rPr>
        <w:t> separate disaster account—just like funding for all other catastrop</w:t>
      </w:r>
      <w:r w:rsidR="00957827">
        <w:rPr>
          <w:noProof/>
          <w:sz w:val="24"/>
          <w:szCs w:val="24"/>
        </w:rPr>
        <w:t>hic natural disasters. Any fire</w:t>
      </w:r>
      <w:r w:rsidR="0039203D" w:rsidRPr="0039203D">
        <w:rPr>
          <w:noProof/>
          <w:sz w:val="24"/>
          <w:szCs w:val="24"/>
        </w:rPr>
        <w:t> suppression spending above 70% of the 10‐year average for fir</w:t>
      </w:r>
      <w:r w:rsidR="00957827">
        <w:rPr>
          <w:noProof/>
          <w:sz w:val="24"/>
          <w:szCs w:val="24"/>
        </w:rPr>
        <w:t>e suppression would be eligible</w:t>
      </w:r>
      <w:r w:rsidR="0039203D" w:rsidRPr="0039203D">
        <w:rPr>
          <w:noProof/>
          <w:sz w:val="24"/>
          <w:szCs w:val="24"/>
        </w:rPr>
        <w:t xml:space="preserve"> for disaster funding, with the remaining funding secured through appropriations. </w:t>
      </w:r>
    </w:p>
    <w:p w:rsidR="0039203D" w:rsidRPr="0039203D" w:rsidRDefault="0039203D" w:rsidP="0039203D">
      <w:pPr>
        <w:rPr>
          <w:noProof/>
          <w:sz w:val="24"/>
          <w:szCs w:val="24"/>
        </w:rPr>
      </w:pPr>
    </w:p>
    <w:p w:rsidR="0039203D" w:rsidRPr="0039203D" w:rsidRDefault="0039203D" w:rsidP="00957827">
      <w:pPr>
        <w:rPr>
          <w:noProof/>
          <w:sz w:val="24"/>
          <w:szCs w:val="24"/>
        </w:rPr>
      </w:pPr>
      <w:r w:rsidRPr="0039203D">
        <w:rPr>
          <w:noProof/>
          <w:sz w:val="24"/>
          <w:szCs w:val="24"/>
        </w:rPr>
        <w:t>Removing these mega‐fires from the regular budget will free up s</w:t>
      </w:r>
      <w:r w:rsidR="00957827">
        <w:rPr>
          <w:noProof/>
          <w:sz w:val="24"/>
          <w:szCs w:val="24"/>
        </w:rPr>
        <w:t>ubstantial new funding for fire</w:t>
      </w:r>
      <w:r w:rsidRPr="0039203D">
        <w:rPr>
          <w:noProof/>
          <w:sz w:val="24"/>
          <w:szCs w:val="24"/>
        </w:rPr>
        <w:t> prevention and hazardous fuels reduction projects that can help break t</w:t>
      </w:r>
      <w:r w:rsidR="00957827">
        <w:rPr>
          <w:noProof/>
          <w:sz w:val="24"/>
          <w:szCs w:val="24"/>
        </w:rPr>
        <w:t>he cycle of increasingly</w:t>
      </w:r>
      <w:r w:rsidRPr="0039203D">
        <w:rPr>
          <w:noProof/>
          <w:sz w:val="24"/>
          <w:szCs w:val="24"/>
        </w:rPr>
        <w:t xml:space="preserve">  dangerous and costly fires. </w:t>
      </w:r>
    </w:p>
    <w:p w:rsidR="0039203D" w:rsidRPr="00957827" w:rsidRDefault="00957827" w:rsidP="0039203D">
      <w:pPr>
        <w:rPr>
          <w:b/>
          <w:noProof/>
          <w:sz w:val="24"/>
          <w:szCs w:val="24"/>
        </w:rPr>
      </w:pPr>
      <w:r w:rsidRPr="00957827">
        <w:rPr>
          <w:b/>
          <w:noProof/>
          <w:sz w:val="24"/>
          <w:szCs w:val="24"/>
        </w:rPr>
        <w:br/>
      </w:r>
      <w:r w:rsidR="0039203D" w:rsidRPr="00957827">
        <w:rPr>
          <w:b/>
          <w:bCs/>
          <w:noProof/>
          <w:sz w:val="24"/>
          <w:szCs w:val="24"/>
        </w:rPr>
        <w:t xml:space="preserve">NWPPA Position: </w:t>
      </w:r>
    </w:p>
    <w:p w:rsidR="00957827" w:rsidRPr="00957827" w:rsidRDefault="00957827" w:rsidP="0039203D">
      <w:pPr>
        <w:rPr>
          <w:b/>
          <w:noProof/>
          <w:sz w:val="24"/>
          <w:szCs w:val="24"/>
        </w:rPr>
      </w:pPr>
    </w:p>
    <w:p w:rsidR="0039203D" w:rsidRPr="00A8729B" w:rsidRDefault="0039203D" w:rsidP="00A8729B">
      <w:pPr>
        <w:pStyle w:val="ListParagraph"/>
        <w:numPr>
          <w:ilvl w:val="0"/>
          <w:numId w:val="26"/>
        </w:numPr>
        <w:rPr>
          <w:noProof/>
          <w:sz w:val="24"/>
          <w:szCs w:val="24"/>
        </w:rPr>
      </w:pPr>
      <w:r w:rsidRPr="00A8729B">
        <w:rPr>
          <w:noProof/>
          <w:sz w:val="24"/>
          <w:szCs w:val="24"/>
        </w:rPr>
        <w:t xml:space="preserve">NWPPA supports swift enactment of legislation, or regulatory action, to establish wildfire funding mechanisms to ensure adequate and equitable funding to prevent and fight major forest fires. </w:t>
      </w:r>
    </w:p>
    <w:p w:rsidR="00957827" w:rsidRPr="00957827" w:rsidRDefault="00957827" w:rsidP="0039203D">
      <w:pPr>
        <w:rPr>
          <w:noProof/>
          <w:sz w:val="24"/>
          <w:szCs w:val="24"/>
        </w:rPr>
      </w:pPr>
    </w:p>
    <w:p w:rsidR="0039203D" w:rsidRPr="00957827" w:rsidRDefault="0039203D" w:rsidP="0039203D">
      <w:pPr>
        <w:rPr>
          <w:noProof/>
          <w:sz w:val="24"/>
          <w:szCs w:val="24"/>
        </w:rPr>
      </w:pPr>
      <w:r w:rsidRPr="00957827">
        <w:rPr>
          <w:noProof/>
          <w:sz w:val="24"/>
          <w:szCs w:val="24"/>
        </w:rPr>
        <w:t>Origination Date: 2016.</w:t>
      </w:r>
      <w:r w:rsidR="00A8729B">
        <w:rPr>
          <w:noProof/>
          <w:sz w:val="24"/>
          <w:szCs w:val="24"/>
        </w:rPr>
        <w:t xml:space="preserve"> Revised 2017.</w:t>
      </w:r>
      <w:r w:rsidRPr="00957827">
        <w:rPr>
          <w:noProof/>
          <w:sz w:val="24"/>
          <w:szCs w:val="24"/>
        </w:rPr>
        <w:t xml:space="preserve"> </w:t>
      </w:r>
    </w:p>
    <w:p w:rsidR="00AB3915" w:rsidRPr="00957827" w:rsidRDefault="00AB3915" w:rsidP="0039203D">
      <w:pPr>
        <w:rPr>
          <w:sz w:val="24"/>
          <w:szCs w:val="24"/>
        </w:rPr>
      </w:pPr>
    </w:p>
    <w:sectPr w:rsidR="00AB3915" w:rsidRPr="00957827" w:rsidSect="004A470C">
      <w:headerReference w:type="even" r:id="rId8"/>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16" w:rsidRDefault="00227E16" w:rsidP="00AB3915">
      <w:r>
        <w:separator/>
      </w:r>
    </w:p>
  </w:endnote>
  <w:endnote w:type="continuationSeparator" w:id="0">
    <w:p w:rsidR="00227E16" w:rsidRDefault="00227E16"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16" w:rsidRDefault="00227E16" w:rsidP="00AB3915">
      <w:r>
        <w:separator/>
      </w:r>
    </w:p>
  </w:footnote>
  <w:footnote w:type="continuationSeparator" w:id="0">
    <w:p w:rsidR="00227E16" w:rsidRDefault="00227E16"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27" w:rsidRDefault="00957827"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84F"/>
    <w:multiLevelType w:val="multilevel"/>
    <w:tmpl w:val="A84CE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4E38"/>
    <w:multiLevelType w:val="hybridMultilevel"/>
    <w:tmpl w:val="E50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528"/>
    <w:multiLevelType w:val="multilevel"/>
    <w:tmpl w:val="D9FE73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A6F57"/>
    <w:multiLevelType w:val="multilevel"/>
    <w:tmpl w:val="487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7F20"/>
    <w:multiLevelType w:val="multilevel"/>
    <w:tmpl w:val="7CBA90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43D91"/>
    <w:multiLevelType w:val="multilevel"/>
    <w:tmpl w:val="29C25D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8E6"/>
    <w:multiLevelType w:val="multilevel"/>
    <w:tmpl w:val="930E18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18"/>
  </w:num>
  <w:num w:numId="5">
    <w:abstractNumId w:val="4"/>
  </w:num>
  <w:num w:numId="6">
    <w:abstractNumId w:val="12"/>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24"/>
  </w:num>
  <w:num w:numId="15">
    <w:abstractNumId w:val="10"/>
  </w:num>
  <w:num w:numId="16">
    <w:abstractNumId w:val="8"/>
  </w:num>
  <w:num w:numId="17">
    <w:abstractNumId w:val="0"/>
  </w:num>
  <w:num w:numId="18">
    <w:abstractNumId w:val="19"/>
  </w:num>
  <w:num w:numId="19">
    <w:abstractNumId w:val="17"/>
  </w:num>
  <w:num w:numId="20">
    <w:abstractNumId w:val="13"/>
  </w:num>
  <w:num w:numId="21">
    <w:abstractNumId w:val="3"/>
  </w:num>
  <w:num w:numId="22">
    <w:abstractNumId w:val="25"/>
  </w:num>
  <w:num w:numId="23">
    <w:abstractNumId w:val="21"/>
  </w:num>
  <w:num w:numId="24">
    <w:abstractNumId w:val="11"/>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3098A"/>
    <w:rsid w:val="00064EEB"/>
    <w:rsid w:val="000737F4"/>
    <w:rsid w:val="00092809"/>
    <w:rsid w:val="00097EC7"/>
    <w:rsid w:val="000C024C"/>
    <w:rsid w:val="000F2C73"/>
    <w:rsid w:val="00151629"/>
    <w:rsid w:val="0015180A"/>
    <w:rsid w:val="00170B7A"/>
    <w:rsid w:val="00177873"/>
    <w:rsid w:val="00180E9E"/>
    <w:rsid w:val="00194346"/>
    <w:rsid w:val="001B42C2"/>
    <w:rsid w:val="001B5CAA"/>
    <w:rsid w:val="001C599C"/>
    <w:rsid w:val="001E1467"/>
    <w:rsid w:val="0020084D"/>
    <w:rsid w:val="00227E16"/>
    <w:rsid w:val="00246ED9"/>
    <w:rsid w:val="00254AE8"/>
    <w:rsid w:val="0026111A"/>
    <w:rsid w:val="00275CA3"/>
    <w:rsid w:val="002A1283"/>
    <w:rsid w:val="002C3EBA"/>
    <w:rsid w:val="002D0928"/>
    <w:rsid w:val="002E5EE6"/>
    <w:rsid w:val="002F5E53"/>
    <w:rsid w:val="00304F94"/>
    <w:rsid w:val="0032015E"/>
    <w:rsid w:val="0034363F"/>
    <w:rsid w:val="0034554C"/>
    <w:rsid w:val="00363114"/>
    <w:rsid w:val="003774AF"/>
    <w:rsid w:val="00382C88"/>
    <w:rsid w:val="0039203D"/>
    <w:rsid w:val="003C409E"/>
    <w:rsid w:val="003D14A4"/>
    <w:rsid w:val="003D7E07"/>
    <w:rsid w:val="00413B5F"/>
    <w:rsid w:val="00447FF3"/>
    <w:rsid w:val="00465520"/>
    <w:rsid w:val="004819AA"/>
    <w:rsid w:val="00486EFF"/>
    <w:rsid w:val="004968E4"/>
    <w:rsid w:val="004A470C"/>
    <w:rsid w:val="004D3C83"/>
    <w:rsid w:val="00506ED7"/>
    <w:rsid w:val="005252D2"/>
    <w:rsid w:val="005365B1"/>
    <w:rsid w:val="00537693"/>
    <w:rsid w:val="005379C1"/>
    <w:rsid w:val="00544DB8"/>
    <w:rsid w:val="00550E31"/>
    <w:rsid w:val="005A0D1D"/>
    <w:rsid w:val="005B519F"/>
    <w:rsid w:val="005C5580"/>
    <w:rsid w:val="005F14FD"/>
    <w:rsid w:val="0060178B"/>
    <w:rsid w:val="0065043D"/>
    <w:rsid w:val="00651643"/>
    <w:rsid w:val="00652E98"/>
    <w:rsid w:val="006A5B48"/>
    <w:rsid w:val="006E3B75"/>
    <w:rsid w:val="007039E9"/>
    <w:rsid w:val="007054AF"/>
    <w:rsid w:val="00733D0D"/>
    <w:rsid w:val="00775967"/>
    <w:rsid w:val="00783AFA"/>
    <w:rsid w:val="00787C20"/>
    <w:rsid w:val="00790399"/>
    <w:rsid w:val="007B60DB"/>
    <w:rsid w:val="007C7BB5"/>
    <w:rsid w:val="007E38B6"/>
    <w:rsid w:val="007F4CE7"/>
    <w:rsid w:val="00803766"/>
    <w:rsid w:val="008176E1"/>
    <w:rsid w:val="008211B2"/>
    <w:rsid w:val="008465D4"/>
    <w:rsid w:val="00846D9F"/>
    <w:rsid w:val="00851051"/>
    <w:rsid w:val="008553F1"/>
    <w:rsid w:val="00880956"/>
    <w:rsid w:val="00882CB0"/>
    <w:rsid w:val="008847D2"/>
    <w:rsid w:val="008B04BB"/>
    <w:rsid w:val="00916C95"/>
    <w:rsid w:val="0092645C"/>
    <w:rsid w:val="009534EC"/>
    <w:rsid w:val="00957827"/>
    <w:rsid w:val="009579AF"/>
    <w:rsid w:val="009622AC"/>
    <w:rsid w:val="00971BAD"/>
    <w:rsid w:val="00977072"/>
    <w:rsid w:val="009970B4"/>
    <w:rsid w:val="009A2531"/>
    <w:rsid w:val="009A4DBF"/>
    <w:rsid w:val="009A5256"/>
    <w:rsid w:val="009B05FD"/>
    <w:rsid w:val="009B7E0F"/>
    <w:rsid w:val="009C1A1D"/>
    <w:rsid w:val="009F68EA"/>
    <w:rsid w:val="00A12DCF"/>
    <w:rsid w:val="00A7595B"/>
    <w:rsid w:val="00A76D9E"/>
    <w:rsid w:val="00A8729B"/>
    <w:rsid w:val="00AB3915"/>
    <w:rsid w:val="00AC3A9E"/>
    <w:rsid w:val="00B33627"/>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C599B"/>
    <w:rsid w:val="00ED6BB5"/>
    <w:rsid w:val="00F10A54"/>
    <w:rsid w:val="00F10D26"/>
    <w:rsid w:val="00F15FCB"/>
    <w:rsid w:val="00F16618"/>
    <w:rsid w:val="00F44D29"/>
    <w:rsid w:val="00F46EDF"/>
    <w:rsid w:val="00F52831"/>
    <w:rsid w:val="00F56B31"/>
    <w:rsid w:val="00F616CE"/>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5FAAE5-ABC1-4465-8EEB-459B57E4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7E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2824">
          <w:marLeft w:val="0"/>
          <w:marRight w:val="0"/>
          <w:marTop w:val="0"/>
          <w:marBottom w:val="0"/>
          <w:divBdr>
            <w:top w:val="none" w:sz="0" w:space="0" w:color="auto"/>
            <w:left w:val="none" w:sz="0" w:space="0" w:color="auto"/>
            <w:bottom w:val="none" w:sz="0" w:space="0" w:color="auto"/>
            <w:right w:val="none" w:sz="0" w:space="0" w:color="auto"/>
          </w:divBdr>
          <w:divsChild>
            <w:div w:id="2070222409">
              <w:marLeft w:val="0"/>
              <w:marRight w:val="0"/>
              <w:marTop w:val="0"/>
              <w:marBottom w:val="0"/>
              <w:divBdr>
                <w:top w:val="none" w:sz="0" w:space="0" w:color="auto"/>
                <w:left w:val="none" w:sz="0" w:space="0" w:color="auto"/>
                <w:bottom w:val="none" w:sz="0" w:space="0" w:color="auto"/>
                <w:right w:val="none" w:sz="0" w:space="0" w:color="auto"/>
              </w:divBdr>
              <w:divsChild>
                <w:div w:id="881944309">
                  <w:marLeft w:val="0"/>
                  <w:marRight w:val="0"/>
                  <w:marTop w:val="0"/>
                  <w:marBottom w:val="0"/>
                  <w:divBdr>
                    <w:top w:val="none" w:sz="0" w:space="0" w:color="auto"/>
                    <w:left w:val="none" w:sz="0" w:space="0" w:color="auto"/>
                    <w:bottom w:val="none" w:sz="0" w:space="0" w:color="auto"/>
                    <w:right w:val="none" w:sz="0" w:space="0" w:color="auto"/>
                  </w:divBdr>
                </w:div>
              </w:divsChild>
            </w:div>
            <w:div w:id="1466659568">
              <w:marLeft w:val="0"/>
              <w:marRight w:val="0"/>
              <w:marTop w:val="0"/>
              <w:marBottom w:val="0"/>
              <w:divBdr>
                <w:top w:val="none" w:sz="0" w:space="0" w:color="auto"/>
                <w:left w:val="none" w:sz="0" w:space="0" w:color="auto"/>
                <w:bottom w:val="none" w:sz="0" w:space="0" w:color="auto"/>
                <w:right w:val="none" w:sz="0" w:space="0" w:color="auto"/>
              </w:divBdr>
              <w:divsChild>
                <w:div w:id="242683211">
                  <w:marLeft w:val="0"/>
                  <w:marRight w:val="0"/>
                  <w:marTop w:val="0"/>
                  <w:marBottom w:val="0"/>
                  <w:divBdr>
                    <w:top w:val="none" w:sz="0" w:space="0" w:color="auto"/>
                    <w:left w:val="none" w:sz="0" w:space="0" w:color="auto"/>
                    <w:bottom w:val="none" w:sz="0" w:space="0" w:color="auto"/>
                    <w:right w:val="none" w:sz="0" w:space="0" w:color="auto"/>
                  </w:divBdr>
                </w:div>
                <w:div w:id="209923434">
                  <w:marLeft w:val="0"/>
                  <w:marRight w:val="0"/>
                  <w:marTop w:val="0"/>
                  <w:marBottom w:val="0"/>
                  <w:divBdr>
                    <w:top w:val="none" w:sz="0" w:space="0" w:color="auto"/>
                    <w:left w:val="none" w:sz="0" w:space="0" w:color="auto"/>
                    <w:bottom w:val="none" w:sz="0" w:space="0" w:color="auto"/>
                    <w:right w:val="none" w:sz="0" w:space="0" w:color="auto"/>
                  </w:divBdr>
                </w:div>
              </w:divsChild>
            </w:div>
            <w:div w:id="1245917369">
              <w:marLeft w:val="0"/>
              <w:marRight w:val="0"/>
              <w:marTop w:val="0"/>
              <w:marBottom w:val="0"/>
              <w:divBdr>
                <w:top w:val="none" w:sz="0" w:space="0" w:color="auto"/>
                <w:left w:val="none" w:sz="0" w:space="0" w:color="auto"/>
                <w:bottom w:val="none" w:sz="0" w:space="0" w:color="auto"/>
                <w:right w:val="none" w:sz="0" w:space="0" w:color="auto"/>
              </w:divBdr>
              <w:divsChild>
                <w:div w:id="132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9072">
      <w:bodyDiv w:val="1"/>
      <w:marLeft w:val="0"/>
      <w:marRight w:val="0"/>
      <w:marTop w:val="0"/>
      <w:marBottom w:val="0"/>
      <w:divBdr>
        <w:top w:val="none" w:sz="0" w:space="0" w:color="auto"/>
        <w:left w:val="none" w:sz="0" w:space="0" w:color="auto"/>
        <w:bottom w:val="none" w:sz="0" w:space="0" w:color="auto"/>
        <w:right w:val="none" w:sz="0" w:space="0" w:color="auto"/>
      </w:divBdr>
      <w:divsChild>
        <w:div w:id="1693846807">
          <w:marLeft w:val="0"/>
          <w:marRight w:val="0"/>
          <w:marTop w:val="0"/>
          <w:marBottom w:val="0"/>
          <w:divBdr>
            <w:top w:val="none" w:sz="0" w:space="0" w:color="auto"/>
            <w:left w:val="none" w:sz="0" w:space="0" w:color="auto"/>
            <w:bottom w:val="none" w:sz="0" w:space="0" w:color="auto"/>
            <w:right w:val="none" w:sz="0" w:space="0" w:color="auto"/>
          </w:divBdr>
          <w:divsChild>
            <w:div w:id="297105772">
              <w:marLeft w:val="0"/>
              <w:marRight w:val="0"/>
              <w:marTop w:val="0"/>
              <w:marBottom w:val="0"/>
              <w:divBdr>
                <w:top w:val="none" w:sz="0" w:space="0" w:color="auto"/>
                <w:left w:val="none" w:sz="0" w:space="0" w:color="auto"/>
                <w:bottom w:val="none" w:sz="0" w:space="0" w:color="auto"/>
                <w:right w:val="none" w:sz="0" w:space="0" w:color="auto"/>
              </w:divBdr>
              <w:divsChild>
                <w:div w:id="865757785">
                  <w:marLeft w:val="0"/>
                  <w:marRight w:val="0"/>
                  <w:marTop w:val="0"/>
                  <w:marBottom w:val="0"/>
                  <w:divBdr>
                    <w:top w:val="none" w:sz="0" w:space="0" w:color="auto"/>
                    <w:left w:val="none" w:sz="0" w:space="0" w:color="auto"/>
                    <w:bottom w:val="none" w:sz="0" w:space="0" w:color="auto"/>
                    <w:right w:val="none" w:sz="0" w:space="0" w:color="auto"/>
                  </w:divBdr>
                </w:div>
              </w:divsChild>
            </w:div>
            <w:div w:id="1293290419">
              <w:marLeft w:val="0"/>
              <w:marRight w:val="0"/>
              <w:marTop w:val="0"/>
              <w:marBottom w:val="0"/>
              <w:divBdr>
                <w:top w:val="none" w:sz="0" w:space="0" w:color="auto"/>
                <w:left w:val="none" w:sz="0" w:space="0" w:color="auto"/>
                <w:bottom w:val="none" w:sz="0" w:space="0" w:color="auto"/>
                <w:right w:val="none" w:sz="0" w:space="0" w:color="auto"/>
              </w:divBdr>
              <w:divsChild>
                <w:div w:id="1411540197">
                  <w:marLeft w:val="0"/>
                  <w:marRight w:val="0"/>
                  <w:marTop w:val="0"/>
                  <w:marBottom w:val="0"/>
                  <w:divBdr>
                    <w:top w:val="none" w:sz="0" w:space="0" w:color="auto"/>
                    <w:left w:val="none" w:sz="0" w:space="0" w:color="auto"/>
                    <w:bottom w:val="none" w:sz="0" w:space="0" w:color="auto"/>
                    <w:right w:val="none" w:sz="0" w:space="0" w:color="auto"/>
                  </w:divBdr>
                </w:div>
                <w:div w:id="1273509667">
                  <w:marLeft w:val="0"/>
                  <w:marRight w:val="0"/>
                  <w:marTop w:val="0"/>
                  <w:marBottom w:val="0"/>
                  <w:divBdr>
                    <w:top w:val="none" w:sz="0" w:space="0" w:color="auto"/>
                    <w:left w:val="none" w:sz="0" w:space="0" w:color="auto"/>
                    <w:bottom w:val="none" w:sz="0" w:space="0" w:color="auto"/>
                    <w:right w:val="none" w:sz="0" w:space="0" w:color="auto"/>
                  </w:divBdr>
                </w:div>
              </w:divsChild>
            </w:div>
            <w:div w:id="39013804">
              <w:marLeft w:val="0"/>
              <w:marRight w:val="0"/>
              <w:marTop w:val="0"/>
              <w:marBottom w:val="0"/>
              <w:divBdr>
                <w:top w:val="none" w:sz="0" w:space="0" w:color="auto"/>
                <w:left w:val="none" w:sz="0" w:space="0" w:color="auto"/>
                <w:bottom w:val="none" w:sz="0" w:space="0" w:color="auto"/>
                <w:right w:val="none" w:sz="0" w:space="0" w:color="auto"/>
              </w:divBdr>
              <w:divsChild>
                <w:div w:id="1720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4963-8960-4901-A71B-624B224B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2016-02-02T21:55:00Z</cp:lastPrinted>
  <dcterms:created xsi:type="dcterms:W3CDTF">2017-02-17T16:46:00Z</dcterms:created>
  <dcterms:modified xsi:type="dcterms:W3CDTF">2017-02-17T16:46:00Z</dcterms:modified>
</cp:coreProperties>
</file>