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E9" w:rsidRPr="00544746" w:rsidRDefault="00882CB0" w:rsidP="007A6121">
      <w:pPr>
        <w:keepNext/>
        <w:spacing w:line="276" w:lineRule="auto"/>
        <w:jc w:val="center"/>
        <w:rPr>
          <w:sz w:val="32"/>
          <w:szCs w:val="32"/>
        </w:rPr>
      </w:pPr>
      <w:bookmarkStart w:id="0" w:name="_GoBack"/>
      <w:bookmarkEnd w:id="0"/>
      <w:r w:rsidRPr="00544746">
        <w:rPr>
          <w:b/>
          <w:sz w:val="32"/>
          <w:szCs w:val="32"/>
        </w:rPr>
        <w:t>Northwest Public Power Association</w:t>
      </w:r>
    </w:p>
    <w:p w:rsidR="007A6121" w:rsidRPr="007A6121" w:rsidRDefault="00385878" w:rsidP="007A6121">
      <w:pPr>
        <w:spacing w:line="276" w:lineRule="auto"/>
        <w:jc w:val="center"/>
        <w:rPr>
          <w:rFonts w:eastAsia="Times New Roman"/>
          <w:sz w:val="32"/>
          <w:szCs w:val="32"/>
          <w:lang w:val="en"/>
        </w:rPr>
      </w:pPr>
      <w:r>
        <w:rPr>
          <w:rFonts w:eastAsia="Times New Roman"/>
          <w:b/>
          <w:bCs/>
          <w:sz w:val="32"/>
          <w:szCs w:val="32"/>
          <w:lang w:val="en"/>
        </w:rPr>
        <w:t xml:space="preserve">Resolution </w:t>
      </w:r>
      <w:r w:rsidR="007961B0">
        <w:rPr>
          <w:rFonts w:eastAsia="Times New Roman"/>
          <w:b/>
          <w:bCs/>
          <w:sz w:val="32"/>
          <w:szCs w:val="32"/>
          <w:lang w:val="en"/>
        </w:rPr>
        <w:t>2017</w:t>
      </w:r>
      <w:r w:rsidR="007A6121" w:rsidRPr="007A6121">
        <w:rPr>
          <w:rFonts w:eastAsia="Times New Roman"/>
          <w:b/>
          <w:bCs/>
          <w:sz w:val="32"/>
          <w:szCs w:val="32"/>
          <w:lang w:val="en"/>
        </w:rPr>
        <w:t>-</w:t>
      </w:r>
      <w:r w:rsidR="00671057">
        <w:rPr>
          <w:rFonts w:eastAsia="Times New Roman"/>
          <w:b/>
          <w:bCs/>
          <w:sz w:val="32"/>
          <w:szCs w:val="32"/>
          <w:lang w:val="en"/>
        </w:rPr>
        <w:t>05</w:t>
      </w:r>
    </w:p>
    <w:p w:rsidR="007A6121" w:rsidRPr="007A6121" w:rsidRDefault="00385878" w:rsidP="007A6121">
      <w:pPr>
        <w:spacing w:line="276" w:lineRule="auto"/>
        <w:jc w:val="center"/>
        <w:rPr>
          <w:rFonts w:eastAsia="Times New Roman"/>
          <w:sz w:val="32"/>
          <w:szCs w:val="32"/>
          <w:lang w:val="en"/>
        </w:rPr>
      </w:pPr>
      <w:r>
        <w:rPr>
          <w:rFonts w:eastAsia="Times New Roman"/>
          <w:b/>
          <w:bCs/>
          <w:sz w:val="32"/>
          <w:szCs w:val="32"/>
          <w:lang w:val="en"/>
        </w:rPr>
        <w:t>Integration of Variable</w:t>
      </w:r>
      <w:r w:rsidR="00AE1182">
        <w:rPr>
          <w:rFonts w:eastAsia="Times New Roman"/>
          <w:b/>
          <w:bCs/>
          <w:sz w:val="32"/>
          <w:szCs w:val="32"/>
          <w:lang w:val="en"/>
        </w:rPr>
        <w:t xml:space="preserve"> </w:t>
      </w:r>
      <w:r w:rsidR="00D611B1">
        <w:rPr>
          <w:rFonts w:eastAsia="Times New Roman"/>
          <w:b/>
          <w:bCs/>
          <w:sz w:val="32"/>
          <w:szCs w:val="32"/>
          <w:lang w:val="en"/>
        </w:rPr>
        <w:t>and Regional Energy Markets</w:t>
      </w:r>
    </w:p>
    <w:p w:rsidR="007A6121" w:rsidRDefault="007A6121" w:rsidP="007A6121">
      <w:pPr>
        <w:spacing w:line="276" w:lineRule="auto"/>
        <w:rPr>
          <w:rFonts w:eastAsia="Times New Roman"/>
          <w:b/>
          <w:bCs/>
          <w:sz w:val="24"/>
          <w:szCs w:val="24"/>
          <w:lang w:val="en"/>
        </w:rPr>
      </w:pPr>
    </w:p>
    <w:p w:rsidR="007A6121" w:rsidRPr="007A6121" w:rsidRDefault="007A6121" w:rsidP="007A6121">
      <w:pPr>
        <w:spacing w:line="276" w:lineRule="auto"/>
        <w:rPr>
          <w:rFonts w:eastAsia="Times New Roman"/>
          <w:sz w:val="24"/>
          <w:szCs w:val="24"/>
          <w:lang w:val="en"/>
        </w:rPr>
      </w:pPr>
      <w:r w:rsidRPr="007A6121">
        <w:rPr>
          <w:rFonts w:eastAsia="Times New Roman"/>
          <w:b/>
          <w:bCs/>
          <w:sz w:val="24"/>
          <w:szCs w:val="24"/>
          <w:lang w:val="en"/>
        </w:rPr>
        <w:t>Background</w:t>
      </w:r>
    </w:p>
    <w:p w:rsidR="007A6121" w:rsidRDefault="007A6121" w:rsidP="007A6121">
      <w:pPr>
        <w:spacing w:line="276" w:lineRule="auto"/>
        <w:rPr>
          <w:rFonts w:eastAsia="Times New Roman"/>
          <w:sz w:val="24"/>
          <w:szCs w:val="24"/>
          <w:lang w:val="en"/>
        </w:rPr>
      </w:pPr>
    </w:p>
    <w:p w:rsidR="00385878" w:rsidRDefault="0020448B" w:rsidP="00385878">
      <w:pPr>
        <w:spacing w:line="276" w:lineRule="auto"/>
        <w:rPr>
          <w:rFonts w:eastAsia="Times New Roman"/>
          <w:sz w:val="24"/>
          <w:szCs w:val="24"/>
          <w:lang w:val="en"/>
        </w:rPr>
      </w:pPr>
      <w:r>
        <w:rPr>
          <w:rFonts w:eastAsia="Times New Roman"/>
          <w:sz w:val="24"/>
          <w:szCs w:val="24"/>
          <w:lang w:val="en"/>
        </w:rPr>
        <w:t>I</w:t>
      </w:r>
      <w:r w:rsidR="00385878" w:rsidRPr="00385878">
        <w:rPr>
          <w:rFonts w:eastAsia="Times New Roman"/>
          <w:sz w:val="24"/>
          <w:szCs w:val="24"/>
          <w:lang w:val="en"/>
        </w:rPr>
        <w:t xml:space="preserve">ncreasing amounts of </w:t>
      </w:r>
      <w:r w:rsidRPr="00385878">
        <w:rPr>
          <w:rFonts w:eastAsia="Times New Roman"/>
          <w:sz w:val="24"/>
          <w:szCs w:val="24"/>
          <w:lang w:val="en"/>
        </w:rPr>
        <w:t>non-dispatchable, intermittent resources known as “variable energy resources”</w:t>
      </w:r>
      <w:r w:rsidR="00AE1182">
        <w:rPr>
          <w:rFonts w:eastAsia="Times New Roman"/>
          <w:sz w:val="24"/>
          <w:szCs w:val="24"/>
          <w:lang w:val="en"/>
        </w:rPr>
        <w:t xml:space="preserve"> (VERs) or distributed energy resources</w:t>
      </w:r>
      <w:r w:rsidRPr="00385878">
        <w:rPr>
          <w:rFonts w:eastAsia="Times New Roman"/>
          <w:sz w:val="24"/>
          <w:szCs w:val="24"/>
          <w:lang w:val="en"/>
        </w:rPr>
        <w:t xml:space="preserve"> (</w:t>
      </w:r>
      <w:r w:rsidR="00AE1182">
        <w:rPr>
          <w:rFonts w:eastAsia="Times New Roman"/>
          <w:sz w:val="24"/>
          <w:szCs w:val="24"/>
          <w:lang w:val="en"/>
        </w:rPr>
        <w:t>D</w:t>
      </w:r>
      <w:r w:rsidRPr="00385878">
        <w:rPr>
          <w:rFonts w:eastAsia="Times New Roman"/>
          <w:sz w:val="24"/>
          <w:szCs w:val="24"/>
          <w:lang w:val="en"/>
        </w:rPr>
        <w:t>ERs)</w:t>
      </w:r>
      <w:r>
        <w:rPr>
          <w:rFonts w:eastAsia="Times New Roman"/>
          <w:sz w:val="24"/>
          <w:szCs w:val="24"/>
          <w:lang w:val="en"/>
        </w:rPr>
        <w:t xml:space="preserve"> </w:t>
      </w:r>
      <w:r w:rsidR="00385878" w:rsidRPr="00385878">
        <w:rPr>
          <w:rFonts w:eastAsia="Times New Roman"/>
          <w:sz w:val="24"/>
          <w:szCs w:val="24"/>
          <w:lang w:val="en"/>
        </w:rPr>
        <w:t>h</w:t>
      </w:r>
      <w:r w:rsidR="00A75544">
        <w:rPr>
          <w:rFonts w:eastAsia="Times New Roman"/>
          <w:sz w:val="24"/>
          <w:szCs w:val="24"/>
          <w:lang w:val="en"/>
        </w:rPr>
        <w:t xml:space="preserve">ave been connected to the grid. </w:t>
      </w:r>
      <w:r w:rsidR="00385878" w:rsidRPr="00385878">
        <w:rPr>
          <w:rFonts w:eastAsia="Times New Roman"/>
          <w:sz w:val="24"/>
          <w:szCs w:val="24"/>
          <w:lang w:val="en"/>
        </w:rPr>
        <w:t>VERs must be backed up by o</w:t>
      </w:r>
      <w:r>
        <w:rPr>
          <w:rFonts w:eastAsia="Times New Roman"/>
          <w:sz w:val="24"/>
          <w:szCs w:val="24"/>
          <w:lang w:val="en"/>
        </w:rPr>
        <w:t>ther</w:t>
      </w:r>
      <w:r w:rsidR="009E0C9A">
        <w:rPr>
          <w:rFonts w:eastAsia="Times New Roman"/>
          <w:sz w:val="24"/>
          <w:szCs w:val="24"/>
          <w:lang w:val="en"/>
        </w:rPr>
        <w:t xml:space="preserve"> </w:t>
      </w:r>
      <w:r w:rsidR="00396888">
        <w:rPr>
          <w:rFonts w:eastAsia="Times New Roman"/>
          <w:sz w:val="24"/>
          <w:szCs w:val="24"/>
          <w:lang w:val="en"/>
        </w:rPr>
        <w:t xml:space="preserve">sources </w:t>
      </w:r>
      <w:r w:rsidR="009E0C9A">
        <w:rPr>
          <w:rFonts w:eastAsia="Times New Roman"/>
          <w:sz w:val="24"/>
          <w:szCs w:val="24"/>
          <w:lang w:val="en"/>
        </w:rPr>
        <w:t xml:space="preserve">of power generation such as </w:t>
      </w:r>
      <w:r w:rsidRPr="00385878">
        <w:rPr>
          <w:rFonts w:eastAsia="Times New Roman"/>
          <w:sz w:val="24"/>
          <w:szCs w:val="24"/>
          <w:lang w:val="en"/>
        </w:rPr>
        <w:t>coal, nat</w:t>
      </w:r>
      <w:r w:rsidR="00396888">
        <w:rPr>
          <w:rFonts w:eastAsia="Times New Roman"/>
          <w:sz w:val="24"/>
          <w:szCs w:val="24"/>
          <w:lang w:val="en"/>
        </w:rPr>
        <w:t xml:space="preserve">ural gas, nuclear, and hydro power </w:t>
      </w:r>
      <w:r w:rsidR="00385878" w:rsidRPr="00385878">
        <w:rPr>
          <w:rFonts w:eastAsia="Times New Roman"/>
          <w:sz w:val="24"/>
          <w:szCs w:val="24"/>
          <w:lang w:val="en"/>
        </w:rPr>
        <w:t xml:space="preserve">that can be relied upon to produce electricity when called upon, or reduce output when VERs start generating.  </w:t>
      </w:r>
      <w:r w:rsidR="00F63D16">
        <w:rPr>
          <w:rFonts w:eastAsia="Times New Roman"/>
          <w:sz w:val="24"/>
          <w:szCs w:val="24"/>
          <w:lang w:val="en"/>
        </w:rPr>
        <w:t xml:space="preserve">At the same time, as VERs proliferate </w:t>
      </w:r>
      <w:r w:rsidR="00990861">
        <w:rPr>
          <w:rFonts w:eastAsia="Times New Roman"/>
          <w:sz w:val="24"/>
          <w:szCs w:val="24"/>
          <w:lang w:val="en"/>
        </w:rPr>
        <w:t>in the form of</w:t>
      </w:r>
      <w:r w:rsidR="00F63D16">
        <w:rPr>
          <w:rFonts w:eastAsia="Times New Roman"/>
          <w:sz w:val="24"/>
          <w:szCs w:val="24"/>
          <w:lang w:val="en"/>
        </w:rPr>
        <w:t xml:space="preserve"> distributed generation (DG) resources, utilities face the potential for </w:t>
      </w:r>
      <w:r w:rsidR="00AE1182">
        <w:rPr>
          <w:rFonts w:eastAsia="Times New Roman"/>
          <w:sz w:val="24"/>
          <w:szCs w:val="24"/>
          <w:lang w:val="en"/>
        </w:rPr>
        <w:t xml:space="preserve">periodic or episodic </w:t>
      </w:r>
      <w:r w:rsidR="00F63D16">
        <w:rPr>
          <w:rFonts w:eastAsia="Times New Roman"/>
          <w:sz w:val="24"/>
          <w:szCs w:val="24"/>
          <w:lang w:val="en"/>
        </w:rPr>
        <w:t>overgeneration</w:t>
      </w:r>
      <w:r w:rsidR="008D6972">
        <w:rPr>
          <w:rFonts w:eastAsia="Times New Roman"/>
          <w:sz w:val="24"/>
          <w:szCs w:val="24"/>
          <w:lang w:val="en"/>
        </w:rPr>
        <w:t>.</w:t>
      </w:r>
      <w:r w:rsidR="00F63D16">
        <w:rPr>
          <w:rFonts w:eastAsia="Times New Roman"/>
          <w:sz w:val="24"/>
          <w:szCs w:val="24"/>
          <w:lang w:val="en"/>
        </w:rPr>
        <w:t xml:space="preserve"> </w:t>
      </w:r>
      <w:r w:rsidR="00A75544">
        <w:rPr>
          <w:rFonts w:eastAsia="Times New Roman"/>
          <w:sz w:val="24"/>
          <w:szCs w:val="24"/>
          <w:lang w:val="en"/>
        </w:rPr>
        <w:t>In short, m</w:t>
      </w:r>
      <w:r w:rsidR="00385878" w:rsidRPr="00385878">
        <w:rPr>
          <w:rFonts w:eastAsia="Times New Roman"/>
          <w:sz w:val="24"/>
          <w:szCs w:val="24"/>
          <w:lang w:val="en"/>
        </w:rPr>
        <w:t>anaging VERs directly impacts the reliable operation of the grid and t</w:t>
      </w:r>
      <w:r w:rsidR="001E4BD4">
        <w:rPr>
          <w:rFonts w:eastAsia="Times New Roman"/>
          <w:sz w:val="24"/>
          <w:szCs w:val="24"/>
          <w:lang w:val="en"/>
        </w:rPr>
        <w:t>he cost of power to customers.</w:t>
      </w:r>
    </w:p>
    <w:p w:rsidR="001E4BD4" w:rsidRPr="00385878" w:rsidRDefault="001E4BD4" w:rsidP="00385878">
      <w:pPr>
        <w:spacing w:line="276" w:lineRule="auto"/>
        <w:rPr>
          <w:rFonts w:eastAsia="Times New Roman"/>
          <w:sz w:val="24"/>
          <w:szCs w:val="24"/>
          <w:lang w:val="en"/>
        </w:rPr>
      </w:pPr>
    </w:p>
    <w:p w:rsidR="00990861" w:rsidRPr="0074090B" w:rsidRDefault="00B71954" w:rsidP="0037281B">
      <w:pPr>
        <w:rPr>
          <w:rFonts w:eastAsia="Times New Roman"/>
          <w:bCs/>
          <w:sz w:val="24"/>
          <w:szCs w:val="24"/>
        </w:rPr>
      </w:pPr>
      <w:r>
        <w:rPr>
          <w:rFonts w:eastAsia="Times New Roman"/>
          <w:sz w:val="24"/>
          <w:szCs w:val="24"/>
          <w:lang w:val="en"/>
        </w:rPr>
        <w:t>Current f</w:t>
      </w:r>
      <w:r w:rsidR="001E4BD4">
        <w:rPr>
          <w:rFonts w:eastAsia="Times New Roman"/>
          <w:sz w:val="24"/>
          <w:szCs w:val="24"/>
          <w:lang w:val="en"/>
        </w:rPr>
        <w:t>ederal policy discussions on integration of VERs highlight significant issues for</w:t>
      </w:r>
      <w:r w:rsidR="008E46E6">
        <w:rPr>
          <w:rFonts w:eastAsia="Times New Roman"/>
          <w:sz w:val="24"/>
          <w:szCs w:val="24"/>
          <w:lang w:val="en"/>
        </w:rPr>
        <w:t xml:space="preserve"> public utility systems.  </w:t>
      </w:r>
      <w:r w:rsidR="0037281B">
        <w:rPr>
          <w:rFonts w:eastAsia="Times New Roman"/>
          <w:sz w:val="24"/>
          <w:szCs w:val="24"/>
          <w:lang w:val="en"/>
        </w:rPr>
        <w:t>Concerns about reliability and c</w:t>
      </w:r>
      <w:r w:rsidR="00990861">
        <w:rPr>
          <w:rFonts w:eastAsia="Times New Roman"/>
          <w:sz w:val="24"/>
          <w:szCs w:val="24"/>
          <w:lang w:val="en"/>
        </w:rPr>
        <w:t xml:space="preserve">ost allocation </w:t>
      </w:r>
      <w:r w:rsidR="00385878" w:rsidRPr="00385878">
        <w:rPr>
          <w:rFonts w:eastAsia="Times New Roman"/>
          <w:sz w:val="24"/>
          <w:szCs w:val="24"/>
          <w:lang w:val="en"/>
        </w:rPr>
        <w:t>for transmission facilities needed to un</w:t>
      </w:r>
      <w:r w:rsidR="008E46E6">
        <w:rPr>
          <w:rFonts w:eastAsia="Times New Roman"/>
          <w:sz w:val="24"/>
          <w:szCs w:val="24"/>
          <w:lang w:val="en"/>
        </w:rPr>
        <w:t>dertake this integ</w:t>
      </w:r>
      <w:r w:rsidR="001E4BD4">
        <w:rPr>
          <w:rFonts w:eastAsia="Times New Roman"/>
          <w:sz w:val="24"/>
          <w:szCs w:val="24"/>
          <w:lang w:val="en"/>
        </w:rPr>
        <w:t xml:space="preserve">ration effort </w:t>
      </w:r>
      <w:r w:rsidR="0037281B">
        <w:rPr>
          <w:rFonts w:eastAsia="Times New Roman"/>
          <w:sz w:val="24"/>
          <w:szCs w:val="24"/>
          <w:lang w:val="en"/>
        </w:rPr>
        <w:t xml:space="preserve">are </w:t>
      </w:r>
      <w:r w:rsidR="001E4BD4">
        <w:rPr>
          <w:rFonts w:eastAsia="Times New Roman"/>
          <w:sz w:val="24"/>
          <w:szCs w:val="24"/>
          <w:lang w:val="en"/>
        </w:rPr>
        <w:t xml:space="preserve">central to this </w:t>
      </w:r>
      <w:r w:rsidR="008E46E6">
        <w:rPr>
          <w:rFonts w:eastAsia="Times New Roman"/>
          <w:sz w:val="24"/>
          <w:szCs w:val="24"/>
          <w:lang w:val="en"/>
        </w:rPr>
        <w:t xml:space="preserve">policy </w:t>
      </w:r>
      <w:r>
        <w:rPr>
          <w:rFonts w:eastAsia="Times New Roman"/>
          <w:sz w:val="24"/>
          <w:szCs w:val="24"/>
          <w:lang w:val="en"/>
        </w:rPr>
        <w:t>debate</w:t>
      </w:r>
      <w:r w:rsidR="008E46E6">
        <w:rPr>
          <w:rFonts w:eastAsia="Times New Roman"/>
          <w:sz w:val="24"/>
          <w:szCs w:val="24"/>
          <w:lang w:val="en"/>
        </w:rPr>
        <w:t xml:space="preserve">. </w:t>
      </w:r>
      <w:r w:rsidR="00AE1182">
        <w:rPr>
          <w:rFonts w:eastAsia="Times New Roman"/>
          <w:sz w:val="24"/>
          <w:szCs w:val="24"/>
          <w:lang w:val="en"/>
        </w:rPr>
        <w:t xml:space="preserve"> </w:t>
      </w:r>
      <w:r w:rsidR="00990861" w:rsidRPr="0074090B">
        <w:rPr>
          <w:rFonts w:eastAsia="Times New Roman"/>
          <w:bCs/>
          <w:sz w:val="24"/>
          <w:szCs w:val="24"/>
        </w:rPr>
        <w:t xml:space="preserve">Regional energy markets represent one potential means to foster efficient VERs integration by sharing </w:t>
      </w:r>
      <w:r w:rsidR="00AE1182">
        <w:rPr>
          <w:rFonts w:eastAsia="Times New Roman"/>
          <w:bCs/>
          <w:sz w:val="24"/>
          <w:szCs w:val="24"/>
        </w:rPr>
        <w:t>generating</w:t>
      </w:r>
      <w:r w:rsidR="00990861" w:rsidRPr="0074090B">
        <w:rPr>
          <w:rFonts w:eastAsia="Times New Roman"/>
          <w:bCs/>
          <w:sz w:val="24"/>
          <w:szCs w:val="24"/>
        </w:rPr>
        <w:t xml:space="preserve"> resources between multiple Balancing Authorities</w:t>
      </w:r>
      <w:r w:rsidR="00990861">
        <w:rPr>
          <w:rFonts w:eastAsia="Times New Roman"/>
          <w:bCs/>
          <w:sz w:val="24"/>
          <w:szCs w:val="24"/>
        </w:rPr>
        <w:t xml:space="preserve">, provided they are developed in a way that avoids </w:t>
      </w:r>
      <w:r w:rsidR="00990861" w:rsidRPr="0074090B">
        <w:rPr>
          <w:rFonts w:eastAsia="Times New Roman"/>
          <w:bCs/>
          <w:sz w:val="24"/>
          <w:szCs w:val="24"/>
        </w:rPr>
        <w:t xml:space="preserve">excessive regulatory complexity, opaque and uncontrollable costs, and a loss of accountability and local decision-making. </w:t>
      </w:r>
      <w:r w:rsidR="008978C9">
        <w:rPr>
          <w:rFonts w:eastAsia="Times New Roman"/>
          <w:bCs/>
          <w:sz w:val="24"/>
          <w:szCs w:val="24"/>
        </w:rPr>
        <w:t xml:space="preserve"> Easte</w:t>
      </w:r>
      <w:r w:rsidR="0079460F">
        <w:rPr>
          <w:rFonts w:eastAsia="Times New Roman"/>
          <w:bCs/>
          <w:sz w:val="24"/>
          <w:szCs w:val="24"/>
        </w:rPr>
        <w:t>rn-style capacity markets, for example, are</w:t>
      </w:r>
      <w:r w:rsidR="008978C9">
        <w:rPr>
          <w:rFonts w:eastAsia="Times New Roman"/>
          <w:bCs/>
          <w:sz w:val="24"/>
          <w:szCs w:val="24"/>
        </w:rPr>
        <w:t xml:space="preserve"> </w:t>
      </w:r>
      <w:r w:rsidR="0079460F">
        <w:rPr>
          <w:rFonts w:eastAsia="Times New Roman"/>
          <w:bCs/>
          <w:sz w:val="24"/>
          <w:szCs w:val="24"/>
        </w:rPr>
        <w:t>market structures</w:t>
      </w:r>
      <w:r w:rsidR="00AE1182">
        <w:rPr>
          <w:rFonts w:eastAsia="Times New Roman"/>
          <w:bCs/>
          <w:sz w:val="24"/>
          <w:szCs w:val="24"/>
        </w:rPr>
        <w:t xml:space="preserve"> heretofore</w:t>
      </w:r>
      <w:r w:rsidR="0079460F">
        <w:rPr>
          <w:rFonts w:eastAsia="Times New Roman"/>
          <w:bCs/>
          <w:sz w:val="24"/>
          <w:szCs w:val="24"/>
        </w:rPr>
        <w:t xml:space="preserve"> unacceptable to the West.</w:t>
      </w:r>
    </w:p>
    <w:p w:rsidR="007A6121" w:rsidRDefault="007A6121" w:rsidP="007A6121">
      <w:pPr>
        <w:spacing w:line="276" w:lineRule="auto"/>
        <w:rPr>
          <w:rFonts w:eastAsia="Times New Roman"/>
          <w:b/>
          <w:bCs/>
          <w:sz w:val="24"/>
          <w:szCs w:val="24"/>
          <w:lang w:val="en"/>
        </w:rPr>
      </w:pPr>
    </w:p>
    <w:p w:rsidR="007A6121" w:rsidRDefault="007A6121" w:rsidP="007A6121">
      <w:pPr>
        <w:spacing w:line="276" w:lineRule="auto"/>
        <w:rPr>
          <w:rFonts w:eastAsia="Times New Roman"/>
          <w:b/>
          <w:bCs/>
          <w:sz w:val="24"/>
          <w:szCs w:val="24"/>
          <w:lang w:val="en"/>
        </w:rPr>
      </w:pPr>
      <w:r w:rsidRPr="007A6121">
        <w:rPr>
          <w:rFonts w:eastAsia="Times New Roman"/>
          <w:b/>
          <w:bCs/>
          <w:sz w:val="24"/>
          <w:szCs w:val="24"/>
          <w:lang w:val="en"/>
        </w:rPr>
        <w:t>NWPPA’s Position</w:t>
      </w:r>
    </w:p>
    <w:p w:rsidR="007A6121" w:rsidRPr="007A6121" w:rsidRDefault="007A6121" w:rsidP="007A6121">
      <w:pPr>
        <w:spacing w:line="276" w:lineRule="auto"/>
        <w:rPr>
          <w:rFonts w:eastAsia="Times New Roman"/>
          <w:sz w:val="24"/>
          <w:szCs w:val="24"/>
          <w:lang w:val="en"/>
        </w:rPr>
      </w:pPr>
    </w:p>
    <w:p w:rsidR="00385878" w:rsidRPr="00385878" w:rsidRDefault="00385878" w:rsidP="00385878">
      <w:pPr>
        <w:numPr>
          <w:ilvl w:val="0"/>
          <w:numId w:val="22"/>
        </w:numPr>
        <w:spacing w:line="276" w:lineRule="auto"/>
        <w:rPr>
          <w:rFonts w:eastAsia="Times New Roman"/>
          <w:sz w:val="24"/>
          <w:szCs w:val="24"/>
          <w:lang w:val="en"/>
        </w:rPr>
      </w:pPr>
      <w:r>
        <w:rPr>
          <w:rFonts w:eastAsia="Times New Roman"/>
          <w:sz w:val="24"/>
          <w:szCs w:val="24"/>
          <w:lang w:val="en"/>
        </w:rPr>
        <w:t>NWPPA</w:t>
      </w:r>
      <w:r w:rsidRPr="00385878">
        <w:rPr>
          <w:rFonts w:eastAsia="Times New Roman"/>
          <w:sz w:val="24"/>
          <w:szCs w:val="24"/>
          <w:lang w:val="en"/>
        </w:rPr>
        <w:t xml:space="preserve"> supports </w:t>
      </w:r>
      <w:r w:rsidR="008C620A">
        <w:rPr>
          <w:sz w:val="23"/>
          <w:szCs w:val="23"/>
        </w:rPr>
        <w:t xml:space="preserve">local utility board decisions regarding </w:t>
      </w:r>
      <w:r w:rsidRPr="00385878">
        <w:rPr>
          <w:rFonts w:eastAsia="Times New Roman"/>
          <w:sz w:val="24"/>
          <w:szCs w:val="24"/>
          <w:lang w:val="en"/>
        </w:rPr>
        <w:t>diversified portfolio</w:t>
      </w:r>
      <w:r w:rsidR="008C620A">
        <w:rPr>
          <w:rFonts w:eastAsia="Times New Roman"/>
          <w:sz w:val="24"/>
          <w:szCs w:val="24"/>
          <w:lang w:val="en"/>
        </w:rPr>
        <w:t>s</w:t>
      </w:r>
      <w:r w:rsidRPr="00385878">
        <w:rPr>
          <w:rFonts w:eastAsia="Times New Roman"/>
          <w:sz w:val="24"/>
          <w:szCs w:val="24"/>
          <w:lang w:val="en"/>
        </w:rPr>
        <w:t xml:space="preserve"> of</w:t>
      </w:r>
      <w:r w:rsidR="00A75544">
        <w:rPr>
          <w:rFonts w:eastAsia="Times New Roman"/>
          <w:sz w:val="24"/>
          <w:szCs w:val="24"/>
          <w:lang w:val="en"/>
        </w:rPr>
        <w:t xml:space="preserve"> fuel</w:t>
      </w:r>
      <w:r w:rsidR="00AE1182">
        <w:rPr>
          <w:rFonts w:eastAsia="Times New Roman"/>
          <w:sz w:val="24"/>
          <w:szCs w:val="24"/>
          <w:lang w:val="en"/>
        </w:rPr>
        <w:t xml:space="preserve"> types</w:t>
      </w:r>
      <w:r w:rsidR="00A75544">
        <w:rPr>
          <w:rFonts w:eastAsia="Times New Roman"/>
          <w:sz w:val="24"/>
          <w:szCs w:val="24"/>
          <w:lang w:val="en"/>
        </w:rPr>
        <w:t xml:space="preserve"> for electric generation</w:t>
      </w:r>
      <w:r w:rsidR="007936D0">
        <w:rPr>
          <w:rFonts w:eastAsia="Times New Roman"/>
          <w:sz w:val="24"/>
          <w:szCs w:val="24"/>
          <w:lang w:val="en"/>
        </w:rPr>
        <w:t xml:space="preserve">, including </w:t>
      </w:r>
      <w:r w:rsidRPr="00385878">
        <w:rPr>
          <w:rFonts w:eastAsia="Times New Roman"/>
          <w:sz w:val="24"/>
          <w:szCs w:val="24"/>
          <w:lang w:val="en"/>
        </w:rPr>
        <w:t xml:space="preserve">carbon-free, </w:t>
      </w:r>
      <w:r w:rsidR="00FA576D">
        <w:rPr>
          <w:rFonts w:eastAsia="Times New Roman"/>
          <w:sz w:val="24"/>
          <w:szCs w:val="24"/>
          <w:lang w:val="en"/>
        </w:rPr>
        <w:t>variable</w:t>
      </w:r>
      <w:r w:rsidR="00AE1182">
        <w:rPr>
          <w:rFonts w:eastAsia="Times New Roman"/>
          <w:sz w:val="24"/>
          <w:szCs w:val="24"/>
          <w:lang w:val="en"/>
        </w:rPr>
        <w:t xml:space="preserve"> or distributed</w:t>
      </w:r>
      <w:r>
        <w:rPr>
          <w:rFonts w:eastAsia="Times New Roman"/>
          <w:sz w:val="24"/>
          <w:szCs w:val="24"/>
          <w:lang w:val="en"/>
        </w:rPr>
        <w:t xml:space="preserve"> resources.</w:t>
      </w:r>
    </w:p>
    <w:p w:rsidR="00AE1182" w:rsidRDefault="0062418D">
      <w:pPr>
        <w:numPr>
          <w:ilvl w:val="0"/>
          <w:numId w:val="22"/>
        </w:numPr>
        <w:spacing w:line="276" w:lineRule="auto"/>
        <w:rPr>
          <w:rFonts w:eastAsia="Times New Roman"/>
          <w:sz w:val="24"/>
          <w:szCs w:val="24"/>
          <w:lang w:val="en"/>
        </w:rPr>
      </w:pPr>
      <w:r w:rsidRPr="00AE1182">
        <w:rPr>
          <w:rFonts w:eastAsia="Times New Roman"/>
          <w:sz w:val="24"/>
          <w:szCs w:val="24"/>
          <w:lang w:val="en"/>
        </w:rPr>
        <w:t>NWPPA urges policymakers to</w:t>
      </w:r>
      <w:r w:rsidR="00385878" w:rsidRPr="00AE1182">
        <w:rPr>
          <w:rFonts w:eastAsia="Times New Roman"/>
          <w:sz w:val="24"/>
          <w:szCs w:val="24"/>
          <w:lang w:val="en"/>
        </w:rPr>
        <w:t xml:space="preserve"> </w:t>
      </w:r>
      <w:r w:rsidRPr="00AE1182">
        <w:rPr>
          <w:rFonts w:eastAsia="Times New Roman"/>
          <w:sz w:val="24"/>
          <w:szCs w:val="24"/>
          <w:lang w:val="en"/>
        </w:rPr>
        <w:t>address integration of</w:t>
      </w:r>
      <w:r>
        <w:t xml:space="preserve"> </w:t>
      </w:r>
      <w:r w:rsidRPr="00AE1182">
        <w:rPr>
          <w:rFonts w:eastAsia="Times New Roman"/>
          <w:sz w:val="24"/>
          <w:szCs w:val="24"/>
          <w:lang w:val="en"/>
        </w:rPr>
        <w:t xml:space="preserve">VERs in a holistic manner, recognizing and accounting for </w:t>
      </w:r>
      <w:r w:rsidR="00385878" w:rsidRPr="00AE1182">
        <w:rPr>
          <w:rFonts w:eastAsia="Times New Roman"/>
          <w:sz w:val="24"/>
          <w:szCs w:val="24"/>
          <w:lang w:val="en"/>
        </w:rPr>
        <w:t xml:space="preserve">increased reliability challenges </w:t>
      </w:r>
      <w:r w:rsidRPr="00AE1182">
        <w:rPr>
          <w:rFonts w:eastAsia="Times New Roman"/>
          <w:sz w:val="24"/>
          <w:szCs w:val="24"/>
          <w:lang w:val="en"/>
        </w:rPr>
        <w:t>and</w:t>
      </w:r>
      <w:r w:rsidR="00D611B1">
        <w:rPr>
          <w:rFonts w:eastAsia="Times New Roman"/>
          <w:sz w:val="24"/>
          <w:szCs w:val="24"/>
          <w:lang w:val="en"/>
        </w:rPr>
        <w:t xml:space="preserve"> potential for</w:t>
      </w:r>
      <w:r w:rsidRPr="00AE1182">
        <w:rPr>
          <w:rFonts w:eastAsia="Times New Roman"/>
          <w:sz w:val="24"/>
          <w:szCs w:val="24"/>
          <w:lang w:val="en"/>
        </w:rPr>
        <w:t xml:space="preserve"> increased costs </w:t>
      </w:r>
      <w:r w:rsidR="00D611B1">
        <w:rPr>
          <w:rFonts w:eastAsia="Times New Roman"/>
          <w:sz w:val="24"/>
          <w:szCs w:val="24"/>
          <w:lang w:val="en"/>
        </w:rPr>
        <w:t>to</w:t>
      </w:r>
      <w:r w:rsidRPr="00AE1182">
        <w:rPr>
          <w:rFonts w:eastAsia="Times New Roman"/>
          <w:sz w:val="24"/>
          <w:szCs w:val="24"/>
          <w:lang w:val="en"/>
        </w:rPr>
        <w:t xml:space="preserve"> electric c</w:t>
      </w:r>
      <w:r w:rsidR="00D611B1">
        <w:rPr>
          <w:rFonts w:eastAsia="Times New Roman"/>
          <w:sz w:val="24"/>
          <w:szCs w:val="24"/>
          <w:lang w:val="en"/>
        </w:rPr>
        <w:t>onsu</w:t>
      </w:r>
      <w:r w:rsidRPr="00AE1182">
        <w:rPr>
          <w:rFonts w:eastAsia="Times New Roman"/>
          <w:sz w:val="24"/>
          <w:szCs w:val="24"/>
          <w:lang w:val="en"/>
        </w:rPr>
        <w:t>mers</w:t>
      </w:r>
      <w:r w:rsidR="00385878" w:rsidRPr="00AE1182">
        <w:rPr>
          <w:rFonts w:eastAsia="Times New Roman"/>
          <w:sz w:val="24"/>
          <w:szCs w:val="24"/>
          <w:lang w:val="en"/>
        </w:rPr>
        <w:t>, including</w:t>
      </w:r>
      <w:r w:rsidR="00AE1182" w:rsidRPr="00AE1182">
        <w:rPr>
          <w:rFonts w:eastAsia="Times New Roman"/>
          <w:sz w:val="24"/>
          <w:szCs w:val="24"/>
          <w:lang w:val="en"/>
        </w:rPr>
        <w:t xml:space="preserve"> distribution or transmission</w:t>
      </w:r>
      <w:r w:rsidR="00385878" w:rsidRPr="00AE1182">
        <w:rPr>
          <w:rFonts w:eastAsia="Times New Roman"/>
          <w:sz w:val="24"/>
          <w:szCs w:val="24"/>
          <w:lang w:val="en"/>
        </w:rPr>
        <w:t xml:space="preserve"> co</w:t>
      </w:r>
      <w:r w:rsidR="00761349" w:rsidRPr="00AE1182">
        <w:rPr>
          <w:rFonts w:eastAsia="Times New Roman"/>
          <w:sz w:val="24"/>
          <w:szCs w:val="24"/>
          <w:lang w:val="en"/>
        </w:rPr>
        <w:t>sts</w:t>
      </w:r>
      <w:r w:rsidR="00AE1182">
        <w:rPr>
          <w:rFonts w:eastAsia="Times New Roman"/>
          <w:sz w:val="24"/>
          <w:szCs w:val="24"/>
          <w:lang w:val="en"/>
        </w:rPr>
        <w:t>.</w:t>
      </w:r>
    </w:p>
    <w:p w:rsidR="008D6972" w:rsidRPr="00AE1182" w:rsidRDefault="008D6972">
      <w:pPr>
        <w:numPr>
          <w:ilvl w:val="0"/>
          <w:numId w:val="22"/>
        </w:numPr>
        <w:spacing w:line="276" w:lineRule="auto"/>
        <w:rPr>
          <w:rFonts w:eastAsia="Times New Roman"/>
          <w:sz w:val="24"/>
          <w:szCs w:val="24"/>
          <w:lang w:val="en"/>
        </w:rPr>
      </w:pPr>
      <w:r w:rsidRPr="00AE1182">
        <w:rPr>
          <w:rFonts w:eastAsia="Times New Roman"/>
          <w:sz w:val="24"/>
          <w:szCs w:val="24"/>
          <w:lang w:val="en"/>
        </w:rPr>
        <w:t xml:space="preserve">Any transmission tariff reforms enacted by the Federal Energy Regulatory Commission (FERC) to remedy real or perceived barriers to the integration of VERs should not unintentionally create barriers to the use of other types of resources, or provide unreasonable economic subsidies to develop VERs at the expense of other options.   </w:t>
      </w:r>
    </w:p>
    <w:p w:rsidR="007C2523" w:rsidRDefault="00385878" w:rsidP="007A6121">
      <w:pPr>
        <w:numPr>
          <w:ilvl w:val="0"/>
          <w:numId w:val="22"/>
        </w:numPr>
        <w:spacing w:line="276" w:lineRule="auto"/>
        <w:rPr>
          <w:rFonts w:eastAsia="Times New Roman"/>
          <w:sz w:val="24"/>
          <w:szCs w:val="24"/>
          <w:lang w:val="en"/>
        </w:rPr>
      </w:pPr>
      <w:r>
        <w:rPr>
          <w:rFonts w:eastAsia="Times New Roman"/>
          <w:sz w:val="24"/>
          <w:szCs w:val="24"/>
          <w:lang w:val="en"/>
        </w:rPr>
        <w:t xml:space="preserve">NWPPA believes that </w:t>
      </w:r>
      <w:r w:rsidRPr="00385878">
        <w:rPr>
          <w:rFonts w:eastAsia="Times New Roman"/>
          <w:sz w:val="24"/>
          <w:szCs w:val="24"/>
          <w:lang w:val="en"/>
        </w:rPr>
        <w:t xml:space="preserve">the costs </w:t>
      </w:r>
      <w:r>
        <w:rPr>
          <w:rFonts w:eastAsia="Times New Roman"/>
          <w:sz w:val="24"/>
          <w:szCs w:val="24"/>
          <w:lang w:val="en"/>
        </w:rPr>
        <w:t>to integrate</w:t>
      </w:r>
      <w:r w:rsidRPr="00385878">
        <w:rPr>
          <w:rFonts w:eastAsia="Times New Roman"/>
          <w:sz w:val="24"/>
          <w:szCs w:val="24"/>
          <w:lang w:val="en"/>
        </w:rPr>
        <w:t xml:space="preserve"> </w:t>
      </w:r>
      <w:r>
        <w:rPr>
          <w:rFonts w:eastAsia="Times New Roman"/>
          <w:sz w:val="24"/>
          <w:szCs w:val="24"/>
          <w:lang w:val="en"/>
        </w:rPr>
        <w:t xml:space="preserve">VERs </w:t>
      </w:r>
      <w:r w:rsidR="00861D19">
        <w:rPr>
          <w:rFonts w:eastAsia="Times New Roman"/>
          <w:sz w:val="24"/>
          <w:szCs w:val="24"/>
          <w:lang w:val="en"/>
        </w:rPr>
        <w:t xml:space="preserve">should </w:t>
      </w:r>
      <w:r w:rsidRPr="00385878">
        <w:rPr>
          <w:rFonts w:eastAsia="Times New Roman"/>
          <w:sz w:val="24"/>
          <w:szCs w:val="24"/>
          <w:lang w:val="en"/>
        </w:rPr>
        <w:t>be clearly identified and assigned to the entities buyi</w:t>
      </w:r>
      <w:r>
        <w:rPr>
          <w:rFonts w:eastAsia="Times New Roman"/>
          <w:sz w:val="24"/>
          <w:szCs w:val="24"/>
          <w:lang w:val="en"/>
        </w:rPr>
        <w:t>n</w:t>
      </w:r>
      <w:r w:rsidR="0041229E">
        <w:rPr>
          <w:rFonts w:eastAsia="Times New Roman"/>
          <w:sz w:val="24"/>
          <w:szCs w:val="24"/>
          <w:lang w:val="en"/>
        </w:rPr>
        <w:t>g and selling those resources.</w:t>
      </w:r>
    </w:p>
    <w:p w:rsidR="002C7BFC" w:rsidRDefault="002C7BFC" w:rsidP="002C7BFC">
      <w:pPr>
        <w:numPr>
          <w:ilvl w:val="0"/>
          <w:numId w:val="22"/>
        </w:numPr>
        <w:autoSpaceDE w:val="0"/>
        <w:autoSpaceDN w:val="0"/>
        <w:adjustRightInd w:val="0"/>
        <w:rPr>
          <w:rFonts w:cs="Calibri"/>
          <w:color w:val="000000"/>
          <w:sz w:val="24"/>
          <w:szCs w:val="24"/>
        </w:rPr>
      </w:pPr>
      <w:r w:rsidRPr="00224245">
        <w:rPr>
          <w:rFonts w:cs="Calibri"/>
          <w:color w:val="000000"/>
          <w:sz w:val="24"/>
          <w:szCs w:val="24"/>
        </w:rPr>
        <w:t xml:space="preserve">NWPPA </w:t>
      </w:r>
      <w:r w:rsidR="006C5E89">
        <w:rPr>
          <w:rFonts w:cs="Calibri"/>
          <w:color w:val="000000"/>
          <w:sz w:val="24"/>
          <w:szCs w:val="24"/>
        </w:rPr>
        <w:t>believes the</w:t>
      </w:r>
      <w:r w:rsidRPr="00224245">
        <w:rPr>
          <w:rFonts w:cs="Calibri"/>
          <w:color w:val="000000"/>
          <w:sz w:val="24"/>
          <w:szCs w:val="24"/>
        </w:rPr>
        <w:t xml:space="preserve"> financial risks associated with </w:t>
      </w:r>
      <w:r w:rsidR="006C5E89">
        <w:rPr>
          <w:rFonts w:cs="Calibri"/>
          <w:color w:val="000000"/>
          <w:sz w:val="24"/>
          <w:szCs w:val="24"/>
        </w:rPr>
        <w:t>integrating</w:t>
      </w:r>
      <w:r w:rsidRPr="00224245">
        <w:rPr>
          <w:rFonts w:cs="Calibri"/>
          <w:color w:val="000000"/>
          <w:sz w:val="24"/>
          <w:szCs w:val="24"/>
        </w:rPr>
        <w:t xml:space="preserve"> VERs by corporations forming single</w:t>
      </w:r>
      <w:r w:rsidR="007936D0">
        <w:rPr>
          <w:rFonts w:cs="Calibri"/>
          <w:color w:val="000000"/>
          <w:sz w:val="24"/>
          <w:szCs w:val="24"/>
        </w:rPr>
        <w:t>-</w:t>
      </w:r>
      <w:r w:rsidRPr="00224245">
        <w:rPr>
          <w:rFonts w:cs="Calibri"/>
          <w:color w:val="000000"/>
          <w:sz w:val="24"/>
          <w:szCs w:val="24"/>
        </w:rPr>
        <w:t>project LLCs lie solely with those entitie</w:t>
      </w:r>
      <w:r w:rsidR="006C5E89">
        <w:rPr>
          <w:rFonts w:cs="Calibri"/>
          <w:color w:val="000000"/>
          <w:sz w:val="24"/>
          <w:szCs w:val="24"/>
        </w:rPr>
        <w:t>s</w:t>
      </w:r>
      <w:r w:rsidR="00EF4FB8">
        <w:rPr>
          <w:rFonts w:cs="Calibri"/>
          <w:color w:val="000000"/>
          <w:sz w:val="24"/>
          <w:szCs w:val="24"/>
        </w:rPr>
        <w:t>,</w:t>
      </w:r>
      <w:r w:rsidR="006C5E89">
        <w:rPr>
          <w:rFonts w:cs="Calibri"/>
          <w:color w:val="000000"/>
          <w:sz w:val="24"/>
          <w:szCs w:val="24"/>
        </w:rPr>
        <w:t xml:space="preserve"> and </w:t>
      </w:r>
      <w:r w:rsidR="00AE1182">
        <w:rPr>
          <w:rFonts w:cs="Calibri"/>
          <w:color w:val="000000"/>
          <w:sz w:val="24"/>
          <w:szCs w:val="24"/>
        </w:rPr>
        <w:t xml:space="preserve">risks </w:t>
      </w:r>
      <w:r w:rsidR="006C5E89">
        <w:rPr>
          <w:rFonts w:cs="Calibri"/>
          <w:color w:val="000000"/>
          <w:sz w:val="24"/>
          <w:szCs w:val="24"/>
        </w:rPr>
        <w:t>should not be</w:t>
      </w:r>
      <w:r w:rsidR="00AE1182">
        <w:rPr>
          <w:rFonts w:cs="Calibri"/>
          <w:color w:val="000000"/>
          <w:sz w:val="24"/>
          <w:szCs w:val="24"/>
        </w:rPr>
        <w:t xml:space="preserve"> borne by a serving utility</w:t>
      </w:r>
      <w:r w:rsidRPr="00224245">
        <w:rPr>
          <w:rFonts w:cs="Calibri"/>
          <w:color w:val="000000"/>
          <w:sz w:val="24"/>
          <w:szCs w:val="24"/>
        </w:rPr>
        <w:t>.</w:t>
      </w:r>
    </w:p>
    <w:p w:rsidR="0037281B" w:rsidRPr="0037281B" w:rsidRDefault="0037281B" w:rsidP="00D51D1E">
      <w:pPr>
        <w:numPr>
          <w:ilvl w:val="0"/>
          <w:numId w:val="22"/>
        </w:numPr>
        <w:rPr>
          <w:rFonts w:eastAsia="Times New Roman"/>
          <w:bCs/>
          <w:sz w:val="24"/>
          <w:szCs w:val="24"/>
        </w:rPr>
      </w:pPr>
      <w:r w:rsidRPr="005F5D61">
        <w:rPr>
          <w:rFonts w:eastAsia="Times New Roman"/>
          <w:bCs/>
          <w:sz w:val="24"/>
          <w:szCs w:val="24"/>
        </w:rPr>
        <w:t>In exploring and evaluating potential market-based options, NWPPA supports the principles of voluntary participation, structured designs that support the public power business model</w:t>
      </w:r>
      <w:r w:rsidR="00AE1182">
        <w:rPr>
          <w:rFonts w:eastAsia="Times New Roman"/>
          <w:bCs/>
          <w:sz w:val="24"/>
          <w:szCs w:val="24"/>
        </w:rPr>
        <w:t xml:space="preserve"> of</w:t>
      </w:r>
      <w:r w:rsidRPr="005F5D61">
        <w:rPr>
          <w:rFonts w:eastAsia="Times New Roman"/>
          <w:bCs/>
          <w:sz w:val="24"/>
          <w:szCs w:val="24"/>
        </w:rPr>
        <w:t xml:space="preserve"> focus on</w:t>
      </w:r>
      <w:r w:rsidR="00AE1182">
        <w:rPr>
          <w:rFonts w:eastAsia="Times New Roman"/>
          <w:bCs/>
          <w:sz w:val="24"/>
          <w:szCs w:val="24"/>
        </w:rPr>
        <w:t xml:space="preserve"> </w:t>
      </w:r>
      <w:r w:rsidR="00495E5D">
        <w:rPr>
          <w:rFonts w:eastAsia="Times New Roman"/>
          <w:bCs/>
          <w:sz w:val="24"/>
          <w:szCs w:val="24"/>
        </w:rPr>
        <w:t xml:space="preserve">keeping costs low </w:t>
      </w:r>
      <w:r w:rsidRPr="005F5D61">
        <w:rPr>
          <w:rFonts w:eastAsia="Times New Roman"/>
          <w:bCs/>
          <w:sz w:val="24"/>
          <w:szCs w:val="24"/>
        </w:rPr>
        <w:t>to the consumer and the preservation of local decision-making.</w:t>
      </w:r>
      <w:r>
        <w:rPr>
          <w:rFonts w:eastAsia="Times New Roman"/>
          <w:bCs/>
          <w:sz w:val="24"/>
          <w:szCs w:val="24"/>
        </w:rPr>
        <w:t xml:space="preserve"> </w:t>
      </w:r>
    </w:p>
    <w:p w:rsidR="0037281B" w:rsidRPr="00D51D1E" w:rsidRDefault="0037281B" w:rsidP="00D51D1E">
      <w:pPr>
        <w:numPr>
          <w:ilvl w:val="0"/>
          <w:numId w:val="22"/>
        </w:numPr>
        <w:rPr>
          <w:rFonts w:eastAsia="Times New Roman"/>
          <w:bCs/>
          <w:sz w:val="24"/>
          <w:szCs w:val="24"/>
        </w:rPr>
      </w:pPr>
      <w:r w:rsidRPr="005F5D61">
        <w:rPr>
          <w:rFonts w:eastAsia="Times New Roman"/>
          <w:bCs/>
          <w:sz w:val="24"/>
          <w:szCs w:val="24"/>
        </w:rPr>
        <w:lastRenderedPageBreak/>
        <w:t xml:space="preserve">NWPPA </w:t>
      </w:r>
      <w:r>
        <w:rPr>
          <w:rFonts w:eastAsia="Times New Roman"/>
          <w:bCs/>
          <w:sz w:val="24"/>
          <w:szCs w:val="24"/>
        </w:rPr>
        <w:t>opposes</w:t>
      </w:r>
      <w:r w:rsidRPr="005F5D61">
        <w:rPr>
          <w:rFonts w:eastAsia="Times New Roman"/>
          <w:bCs/>
          <w:sz w:val="24"/>
          <w:szCs w:val="24"/>
        </w:rPr>
        <w:t xml:space="preserve"> increased Federal Energy Regulatory Commission or other federal jurisdiction over consumer-owned utility operations, mandatory participation in markets that restrict local decision-making, or other market structures that </w:t>
      </w:r>
      <w:r>
        <w:rPr>
          <w:rFonts w:eastAsia="Times New Roman"/>
          <w:bCs/>
          <w:sz w:val="24"/>
          <w:szCs w:val="24"/>
        </w:rPr>
        <w:t xml:space="preserve">limit or eliminate </w:t>
      </w:r>
      <w:r w:rsidR="00495E5D">
        <w:rPr>
          <w:rFonts w:eastAsia="Times New Roman"/>
          <w:bCs/>
          <w:sz w:val="24"/>
          <w:szCs w:val="24"/>
        </w:rPr>
        <w:t>the</w:t>
      </w:r>
      <w:r>
        <w:rPr>
          <w:rFonts w:eastAsia="Times New Roman"/>
          <w:bCs/>
          <w:sz w:val="24"/>
          <w:szCs w:val="24"/>
        </w:rPr>
        <w:t xml:space="preserve"> ability to enter into long-term contracts or </w:t>
      </w:r>
      <w:r w:rsidRPr="005F5D61">
        <w:rPr>
          <w:rFonts w:eastAsia="Times New Roman"/>
          <w:bCs/>
          <w:sz w:val="24"/>
          <w:szCs w:val="24"/>
        </w:rPr>
        <w:t>undermine public power’s mission of delivering reliable electric service at lowest possible costs.</w:t>
      </w:r>
    </w:p>
    <w:p w:rsidR="00277276" w:rsidRDefault="00277276" w:rsidP="00277276">
      <w:pPr>
        <w:spacing w:line="276" w:lineRule="auto"/>
        <w:rPr>
          <w:rFonts w:eastAsia="Times New Roman"/>
          <w:sz w:val="24"/>
          <w:szCs w:val="24"/>
          <w:lang w:val="en"/>
        </w:rPr>
      </w:pPr>
    </w:p>
    <w:p w:rsidR="00277276" w:rsidRPr="00CC1EA4" w:rsidRDefault="00277276" w:rsidP="00277276">
      <w:pPr>
        <w:spacing w:line="276" w:lineRule="auto"/>
        <w:rPr>
          <w:rFonts w:eastAsia="Times New Roman"/>
          <w:sz w:val="24"/>
          <w:szCs w:val="24"/>
          <w:lang w:val="en"/>
        </w:rPr>
      </w:pPr>
      <w:r>
        <w:rPr>
          <w:rFonts w:eastAsia="Times New Roman"/>
          <w:sz w:val="24"/>
          <w:szCs w:val="24"/>
          <w:lang w:val="en"/>
        </w:rPr>
        <w:t>Origination Date: 2011</w:t>
      </w:r>
      <w:r w:rsidR="00B612B2" w:rsidRPr="00B612B2">
        <w:rPr>
          <w:rFonts w:eastAsia="Times New Roman"/>
          <w:sz w:val="24"/>
          <w:szCs w:val="24"/>
        </w:rPr>
        <w:t xml:space="preserve"> </w:t>
      </w:r>
      <w:r w:rsidR="008D0884">
        <w:rPr>
          <w:rFonts w:eastAsia="Times New Roman"/>
          <w:sz w:val="24"/>
          <w:szCs w:val="24"/>
        </w:rPr>
        <w:t>and 2012</w:t>
      </w:r>
      <w:r w:rsidR="00112EE5">
        <w:rPr>
          <w:rFonts w:eastAsia="Times New Roman"/>
          <w:sz w:val="24"/>
          <w:szCs w:val="24"/>
        </w:rPr>
        <w:t>.</w:t>
      </w:r>
      <w:r>
        <w:rPr>
          <w:rFonts w:eastAsia="Times New Roman"/>
          <w:sz w:val="24"/>
          <w:szCs w:val="24"/>
          <w:lang w:val="en"/>
        </w:rPr>
        <w:t xml:space="preserve"> </w:t>
      </w:r>
      <w:r w:rsidR="00ED5FA4">
        <w:rPr>
          <w:rFonts w:eastAsia="Times New Roman"/>
          <w:sz w:val="24"/>
          <w:szCs w:val="24"/>
          <w:lang w:val="en"/>
        </w:rPr>
        <w:t>Revised 2017.</w:t>
      </w:r>
    </w:p>
    <w:sectPr w:rsidR="00277276" w:rsidRPr="00CC1EA4" w:rsidSect="000D5359">
      <w:headerReference w:type="even" r:id="rId8"/>
      <w:pgSz w:w="12240" w:h="15840" w:code="1"/>
      <w:pgMar w:top="720" w:right="1440" w:bottom="450" w:left="1440" w:header="720" w:footer="39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AA" w:rsidRDefault="005261AA" w:rsidP="005668B0">
      <w:r>
        <w:separator/>
      </w:r>
    </w:p>
  </w:endnote>
  <w:endnote w:type="continuationSeparator" w:id="0">
    <w:p w:rsidR="005261AA" w:rsidRDefault="005261AA" w:rsidP="0056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AA" w:rsidRDefault="005261AA" w:rsidP="005668B0">
      <w:r>
        <w:separator/>
      </w:r>
    </w:p>
  </w:footnote>
  <w:footnote w:type="continuationSeparator" w:id="0">
    <w:p w:rsidR="005261AA" w:rsidRDefault="005261AA" w:rsidP="0056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C9" w:rsidRDefault="008978C9" w:rsidP="005668B0">
    <w:pPr>
      <w:pStyle w:val="Header"/>
      <w:jc w:val="center"/>
    </w:pPr>
    <w:r>
      <w:t>Page 2- Integration of Variable Energy Resources</w:t>
    </w:r>
  </w:p>
  <w:p w:rsidR="008978C9" w:rsidRDefault="008978C9" w:rsidP="005668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62A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8254F"/>
    <w:multiLevelType w:val="hybridMultilevel"/>
    <w:tmpl w:val="E5323EC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0" w15:restartNumberingAfterBreak="0">
    <w:nsid w:val="3CF4297E"/>
    <w:multiLevelType w:val="multilevel"/>
    <w:tmpl w:val="233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B7087"/>
    <w:multiLevelType w:val="multilevel"/>
    <w:tmpl w:val="8EAA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93700"/>
    <w:multiLevelType w:val="multilevel"/>
    <w:tmpl w:val="844E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C5C71"/>
    <w:multiLevelType w:val="hybridMultilevel"/>
    <w:tmpl w:val="030A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12569"/>
    <w:multiLevelType w:val="multilevel"/>
    <w:tmpl w:val="CDD6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55040"/>
    <w:multiLevelType w:val="hybridMultilevel"/>
    <w:tmpl w:val="B76C35D6"/>
    <w:lvl w:ilvl="0" w:tplc="04090001">
      <w:start w:val="1"/>
      <w:numFmt w:val="bullet"/>
      <w:lvlText w:val=""/>
      <w:lvlJc w:val="left"/>
      <w:pPr>
        <w:ind w:left="1214" w:hanging="360"/>
      </w:pPr>
      <w:rPr>
        <w:rFonts w:ascii="Symbol" w:hAnsi="Symbol"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19"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53543"/>
    <w:multiLevelType w:val="multilevel"/>
    <w:tmpl w:val="28F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63329"/>
    <w:multiLevelType w:val="multilevel"/>
    <w:tmpl w:val="B82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14"/>
  </w:num>
  <w:num w:numId="5">
    <w:abstractNumId w:val="4"/>
  </w:num>
  <w:num w:numId="6">
    <w:abstractNumId w:val="8"/>
  </w:num>
  <w:num w:numId="7">
    <w:abstractNumId w:val="2"/>
  </w:num>
  <w:num w:numId="8">
    <w:abstractNumId w:val="21"/>
  </w:num>
  <w:num w:numId="9">
    <w:abstractNumId w:val="6"/>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5"/>
  </w:num>
  <w:num w:numId="14">
    <w:abstractNumId w:val="12"/>
  </w:num>
  <w:num w:numId="15">
    <w:abstractNumId w:val="18"/>
  </w:num>
  <w:num w:numId="16">
    <w:abstractNumId w:val="23"/>
  </w:num>
  <w:num w:numId="17">
    <w:abstractNumId w:val="17"/>
  </w:num>
  <w:num w:numId="18">
    <w:abstractNumId w:val="9"/>
  </w:num>
  <w:num w:numId="19">
    <w:abstractNumId w:val="22"/>
  </w:num>
  <w:num w:numId="20">
    <w:abstractNumId w:val="15"/>
  </w:num>
  <w:num w:numId="21">
    <w:abstractNumId w:val="3"/>
  </w:num>
  <w:num w:numId="22">
    <w:abstractNumId w:val="10"/>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13E9"/>
    <w:rsid w:val="00002AA3"/>
    <w:rsid w:val="00010E6A"/>
    <w:rsid w:val="000142E3"/>
    <w:rsid w:val="00015ED6"/>
    <w:rsid w:val="00026119"/>
    <w:rsid w:val="000344D4"/>
    <w:rsid w:val="00046DEA"/>
    <w:rsid w:val="00054011"/>
    <w:rsid w:val="0006317F"/>
    <w:rsid w:val="000747B3"/>
    <w:rsid w:val="00075E86"/>
    <w:rsid w:val="00076CCE"/>
    <w:rsid w:val="00080092"/>
    <w:rsid w:val="00081A44"/>
    <w:rsid w:val="00083531"/>
    <w:rsid w:val="00086AAD"/>
    <w:rsid w:val="00095872"/>
    <w:rsid w:val="000A0F47"/>
    <w:rsid w:val="000A2DFE"/>
    <w:rsid w:val="000B0316"/>
    <w:rsid w:val="000D08B4"/>
    <w:rsid w:val="000D5359"/>
    <w:rsid w:val="000D570B"/>
    <w:rsid w:val="000D5A60"/>
    <w:rsid w:val="000D5E51"/>
    <w:rsid w:val="000E0CA6"/>
    <w:rsid w:val="000E303F"/>
    <w:rsid w:val="000E6E87"/>
    <w:rsid w:val="000F1648"/>
    <w:rsid w:val="000F4800"/>
    <w:rsid w:val="000F62B4"/>
    <w:rsid w:val="001035DD"/>
    <w:rsid w:val="00104A3A"/>
    <w:rsid w:val="00112EE5"/>
    <w:rsid w:val="00113C37"/>
    <w:rsid w:val="0012074F"/>
    <w:rsid w:val="00120ED9"/>
    <w:rsid w:val="00127708"/>
    <w:rsid w:val="00127E62"/>
    <w:rsid w:val="00155C05"/>
    <w:rsid w:val="00165062"/>
    <w:rsid w:val="001A1044"/>
    <w:rsid w:val="001A23E0"/>
    <w:rsid w:val="001B2F40"/>
    <w:rsid w:val="001C0AC7"/>
    <w:rsid w:val="001C3D67"/>
    <w:rsid w:val="001D5C8F"/>
    <w:rsid w:val="001D7350"/>
    <w:rsid w:val="001E13C0"/>
    <w:rsid w:val="001E4BD4"/>
    <w:rsid w:val="001F5079"/>
    <w:rsid w:val="001F71A7"/>
    <w:rsid w:val="001F7E47"/>
    <w:rsid w:val="0020448B"/>
    <w:rsid w:val="00206AA3"/>
    <w:rsid w:val="002078FA"/>
    <w:rsid w:val="002216D7"/>
    <w:rsid w:val="00222CB9"/>
    <w:rsid w:val="00224245"/>
    <w:rsid w:val="002243C8"/>
    <w:rsid w:val="00224F4B"/>
    <w:rsid w:val="00233BA8"/>
    <w:rsid w:val="00235691"/>
    <w:rsid w:val="00237A22"/>
    <w:rsid w:val="0024283C"/>
    <w:rsid w:val="00243B35"/>
    <w:rsid w:val="00245533"/>
    <w:rsid w:val="0026105F"/>
    <w:rsid w:val="002627B4"/>
    <w:rsid w:val="00265BDD"/>
    <w:rsid w:val="00267884"/>
    <w:rsid w:val="00274419"/>
    <w:rsid w:val="00277276"/>
    <w:rsid w:val="0028732D"/>
    <w:rsid w:val="00292925"/>
    <w:rsid w:val="0029350A"/>
    <w:rsid w:val="0029621C"/>
    <w:rsid w:val="002A0DF3"/>
    <w:rsid w:val="002A232D"/>
    <w:rsid w:val="002A75BF"/>
    <w:rsid w:val="002B56D5"/>
    <w:rsid w:val="002C0293"/>
    <w:rsid w:val="002C4015"/>
    <w:rsid w:val="002C648A"/>
    <w:rsid w:val="002C68E4"/>
    <w:rsid w:val="002C7BFC"/>
    <w:rsid w:val="002D4E83"/>
    <w:rsid w:val="002D6AA4"/>
    <w:rsid w:val="002F0818"/>
    <w:rsid w:val="002F11D9"/>
    <w:rsid w:val="00317B23"/>
    <w:rsid w:val="00324E76"/>
    <w:rsid w:val="0033294C"/>
    <w:rsid w:val="003421C4"/>
    <w:rsid w:val="0034401C"/>
    <w:rsid w:val="003457B2"/>
    <w:rsid w:val="00353533"/>
    <w:rsid w:val="00356217"/>
    <w:rsid w:val="00357131"/>
    <w:rsid w:val="003624ED"/>
    <w:rsid w:val="00363128"/>
    <w:rsid w:val="00363966"/>
    <w:rsid w:val="003662A3"/>
    <w:rsid w:val="0037281B"/>
    <w:rsid w:val="00385878"/>
    <w:rsid w:val="00395BF1"/>
    <w:rsid w:val="00396888"/>
    <w:rsid w:val="003A12D1"/>
    <w:rsid w:val="003A42F0"/>
    <w:rsid w:val="003A5597"/>
    <w:rsid w:val="003A7A6F"/>
    <w:rsid w:val="003B6722"/>
    <w:rsid w:val="003C2A88"/>
    <w:rsid w:val="003E2DE0"/>
    <w:rsid w:val="003E6758"/>
    <w:rsid w:val="00406E65"/>
    <w:rsid w:val="004117AA"/>
    <w:rsid w:val="0041229E"/>
    <w:rsid w:val="00422046"/>
    <w:rsid w:val="004341F6"/>
    <w:rsid w:val="00442734"/>
    <w:rsid w:val="0045502C"/>
    <w:rsid w:val="00460190"/>
    <w:rsid w:val="00474011"/>
    <w:rsid w:val="00475FDF"/>
    <w:rsid w:val="00482B3E"/>
    <w:rsid w:val="00494194"/>
    <w:rsid w:val="00495E5D"/>
    <w:rsid w:val="004975C8"/>
    <w:rsid w:val="004A286F"/>
    <w:rsid w:val="004A4199"/>
    <w:rsid w:val="004B3A67"/>
    <w:rsid w:val="004B68AA"/>
    <w:rsid w:val="004C24AA"/>
    <w:rsid w:val="004C7F58"/>
    <w:rsid w:val="004D1278"/>
    <w:rsid w:val="004D1B51"/>
    <w:rsid w:val="004D734E"/>
    <w:rsid w:val="004E2266"/>
    <w:rsid w:val="004F0373"/>
    <w:rsid w:val="004F0ADD"/>
    <w:rsid w:val="004F343D"/>
    <w:rsid w:val="004F5761"/>
    <w:rsid w:val="00503389"/>
    <w:rsid w:val="00503AB2"/>
    <w:rsid w:val="0052518F"/>
    <w:rsid w:val="005261AA"/>
    <w:rsid w:val="0052629D"/>
    <w:rsid w:val="00544746"/>
    <w:rsid w:val="00550DD9"/>
    <w:rsid w:val="00552472"/>
    <w:rsid w:val="00553422"/>
    <w:rsid w:val="00562B02"/>
    <w:rsid w:val="0056346C"/>
    <w:rsid w:val="00565684"/>
    <w:rsid w:val="005668B0"/>
    <w:rsid w:val="00575081"/>
    <w:rsid w:val="005758E9"/>
    <w:rsid w:val="00575C7D"/>
    <w:rsid w:val="0057701D"/>
    <w:rsid w:val="00584E37"/>
    <w:rsid w:val="00585C5A"/>
    <w:rsid w:val="00587333"/>
    <w:rsid w:val="00593271"/>
    <w:rsid w:val="00595925"/>
    <w:rsid w:val="0059700C"/>
    <w:rsid w:val="005A5D78"/>
    <w:rsid w:val="005B18C0"/>
    <w:rsid w:val="005B1DB4"/>
    <w:rsid w:val="005C2DC0"/>
    <w:rsid w:val="005C4FA5"/>
    <w:rsid w:val="005E4F9F"/>
    <w:rsid w:val="005F2B19"/>
    <w:rsid w:val="005F7AE0"/>
    <w:rsid w:val="005F7CF7"/>
    <w:rsid w:val="00600601"/>
    <w:rsid w:val="0061437E"/>
    <w:rsid w:val="0062418D"/>
    <w:rsid w:val="00626E3B"/>
    <w:rsid w:val="00631202"/>
    <w:rsid w:val="00642225"/>
    <w:rsid w:val="006446AE"/>
    <w:rsid w:val="00657158"/>
    <w:rsid w:val="00660857"/>
    <w:rsid w:val="00661E44"/>
    <w:rsid w:val="00664B62"/>
    <w:rsid w:val="00671057"/>
    <w:rsid w:val="00671624"/>
    <w:rsid w:val="006866A5"/>
    <w:rsid w:val="00686859"/>
    <w:rsid w:val="006918B9"/>
    <w:rsid w:val="00691B86"/>
    <w:rsid w:val="00694156"/>
    <w:rsid w:val="006950C8"/>
    <w:rsid w:val="006A2CE1"/>
    <w:rsid w:val="006A36E5"/>
    <w:rsid w:val="006B57B7"/>
    <w:rsid w:val="006C4B66"/>
    <w:rsid w:val="006C5E89"/>
    <w:rsid w:val="006F2A51"/>
    <w:rsid w:val="006F42A7"/>
    <w:rsid w:val="007012A2"/>
    <w:rsid w:val="00702192"/>
    <w:rsid w:val="00711AB9"/>
    <w:rsid w:val="00716D02"/>
    <w:rsid w:val="00726BDA"/>
    <w:rsid w:val="00741C6D"/>
    <w:rsid w:val="00743647"/>
    <w:rsid w:val="0074565E"/>
    <w:rsid w:val="007468E1"/>
    <w:rsid w:val="00750978"/>
    <w:rsid w:val="007564E1"/>
    <w:rsid w:val="0075690C"/>
    <w:rsid w:val="00756A4E"/>
    <w:rsid w:val="00761349"/>
    <w:rsid w:val="0076134E"/>
    <w:rsid w:val="00762DFF"/>
    <w:rsid w:val="00763B4A"/>
    <w:rsid w:val="007651A0"/>
    <w:rsid w:val="00770F4F"/>
    <w:rsid w:val="00782AD0"/>
    <w:rsid w:val="00782E5F"/>
    <w:rsid w:val="007936D0"/>
    <w:rsid w:val="0079405D"/>
    <w:rsid w:val="0079460F"/>
    <w:rsid w:val="007961B0"/>
    <w:rsid w:val="007A2A60"/>
    <w:rsid w:val="007A5813"/>
    <w:rsid w:val="007A5F43"/>
    <w:rsid w:val="007A6121"/>
    <w:rsid w:val="007A7676"/>
    <w:rsid w:val="007B1E0A"/>
    <w:rsid w:val="007C107C"/>
    <w:rsid w:val="007C2523"/>
    <w:rsid w:val="007D0550"/>
    <w:rsid w:val="007D2290"/>
    <w:rsid w:val="007D5C79"/>
    <w:rsid w:val="007E6677"/>
    <w:rsid w:val="007E686A"/>
    <w:rsid w:val="007E79F7"/>
    <w:rsid w:val="008246CA"/>
    <w:rsid w:val="0082521A"/>
    <w:rsid w:val="00826FC6"/>
    <w:rsid w:val="00827F4E"/>
    <w:rsid w:val="00833655"/>
    <w:rsid w:val="00844D87"/>
    <w:rsid w:val="008500B4"/>
    <w:rsid w:val="0085074F"/>
    <w:rsid w:val="00861D19"/>
    <w:rsid w:val="00866165"/>
    <w:rsid w:val="0086693A"/>
    <w:rsid w:val="008678DE"/>
    <w:rsid w:val="00882CB0"/>
    <w:rsid w:val="00886329"/>
    <w:rsid w:val="008878DA"/>
    <w:rsid w:val="00896669"/>
    <w:rsid w:val="008978C9"/>
    <w:rsid w:val="008B1459"/>
    <w:rsid w:val="008C3697"/>
    <w:rsid w:val="008C620A"/>
    <w:rsid w:val="008D01DC"/>
    <w:rsid w:val="008D0884"/>
    <w:rsid w:val="008D2623"/>
    <w:rsid w:val="008D6972"/>
    <w:rsid w:val="008D7953"/>
    <w:rsid w:val="008E0726"/>
    <w:rsid w:val="008E46E6"/>
    <w:rsid w:val="008F17F6"/>
    <w:rsid w:val="008F550C"/>
    <w:rsid w:val="008F55F0"/>
    <w:rsid w:val="009152A5"/>
    <w:rsid w:val="00921F6A"/>
    <w:rsid w:val="0092224C"/>
    <w:rsid w:val="00922C5C"/>
    <w:rsid w:val="00922EEC"/>
    <w:rsid w:val="009276EC"/>
    <w:rsid w:val="009466D3"/>
    <w:rsid w:val="0095224A"/>
    <w:rsid w:val="0095489C"/>
    <w:rsid w:val="009552D4"/>
    <w:rsid w:val="00955300"/>
    <w:rsid w:val="009636D2"/>
    <w:rsid w:val="00963F46"/>
    <w:rsid w:val="00970655"/>
    <w:rsid w:val="00974F8B"/>
    <w:rsid w:val="00975D62"/>
    <w:rsid w:val="00990861"/>
    <w:rsid w:val="00990DCF"/>
    <w:rsid w:val="009970AD"/>
    <w:rsid w:val="009A0541"/>
    <w:rsid w:val="009A2665"/>
    <w:rsid w:val="009A44EC"/>
    <w:rsid w:val="009B1E0C"/>
    <w:rsid w:val="009B2BDF"/>
    <w:rsid w:val="009B518A"/>
    <w:rsid w:val="009E0384"/>
    <w:rsid w:val="009E0C9A"/>
    <w:rsid w:val="009E1284"/>
    <w:rsid w:val="009E16A1"/>
    <w:rsid w:val="00A06000"/>
    <w:rsid w:val="00A077F7"/>
    <w:rsid w:val="00A24BA2"/>
    <w:rsid w:val="00A24CF9"/>
    <w:rsid w:val="00A36C60"/>
    <w:rsid w:val="00A47001"/>
    <w:rsid w:val="00A53787"/>
    <w:rsid w:val="00A56C3B"/>
    <w:rsid w:val="00A639F1"/>
    <w:rsid w:val="00A71D18"/>
    <w:rsid w:val="00A73029"/>
    <w:rsid w:val="00A7522B"/>
    <w:rsid w:val="00A75544"/>
    <w:rsid w:val="00A7634E"/>
    <w:rsid w:val="00A774F0"/>
    <w:rsid w:val="00A8119E"/>
    <w:rsid w:val="00A81816"/>
    <w:rsid w:val="00A8586E"/>
    <w:rsid w:val="00A860D9"/>
    <w:rsid w:val="00A94EA2"/>
    <w:rsid w:val="00A95954"/>
    <w:rsid w:val="00A9600B"/>
    <w:rsid w:val="00AA1F28"/>
    <w:rsid w:val="00AA2350"/>
    <w:rsid w:val="00AA4EE1"/>
    <w:rsid w:val="00AB0953"/>
    <w:rsid w:val="00AB3608"/>
    <w:rsid w:val="00AB3D55"/>
    <w:rsid w:val="00AB4460"/>
    <w:rsid w:val="00AB5265"/>
    <w:rsid w:val="00AC4BEF"/>
    <w:rsid w:val="00AD02EF"/>
    <w:rsid w:val="00AD061B"/>
    <w:rsid w:val="00AE1182"/>
    <w:rsid w:val="00AE1E69"/>
    <w:rsid w:val="00AE4DC6"/>
    <w:rsid w:val="00AF2B81"/>
    <w:rsid w:val="00AF640A"/>
    <w:rsid w:val="00AF641C"/>
    <w:rsid w:val="00AF79C6"/>
    <w:rsid w:val="00B07A96"/>
    <w:rsid w:val="00B1065C"/>
    <w:rsid w:val="00B142BE"/>
    <w:rsid w:val="00B44BFB"/>
    <w:rsid w:val="00B60E7D"/>
    <w:rsid w:val="00B612B2"/>
    <w:rsid w:val="00B6327B"/>
    <w:rsid w:val="00B65762"/>
    <w:rsid w:val="00B71954"/>
    <w:rsid w:val="00B72CCF"/>
    <w:rsid w:val="00B77066"/>
    <w:rsid w:val="00B831F5"/>
    <w:rsid w:val="00B93438"/>
    <w:rsid w:val="00B964BD"/>
    <w:rsid w:val="00BA2EE1"/>
    <w:rsid w:val="00BB3B1E"/>
    <w:rsid w:val="00BC6E71"/>
    <w:rsid w:val="00BE5D0B"/>
    <w:rsid w:val="00BF66C8"/>
    <w:rsid w:val="00C0056E"/>
    <w:rsid w:val="00C14342"/>
    <w:rsid w:val="00C21E02"/>
    <w:rsid w:val="00C24BFC"/>
    <w:rsid w:val="00C267EC"/>
    <w:rsid w:val="00C438C9"/>
    <w:rsid w:val="00C46F62"/>
    <w:rsid w:val="00C60608"/>
    <w:rsid w:val="00C861EF"/>
    <w:rsid w:val="00CA103E"/>
    <w:rsid w:val="00CB384F"/>
    <w:rsid w:val="00CC0169"/>
    <w:rsid w:val="00CC1EA4"/>
    <w:rsid w:val="00CC49C0"/>
    <w:rsid w:val="00CD310B"/>
    <w:rsid w:val="00CF43AA"/>
    <w:rsid w:val="00CF7ED3"/>
    <w:rsid w:val="00D0186A"/>
    <w:rsid w:val="00D06464"/>
    <w:rsid w:val="00D10B29"/>
    <w:rsid w:val="00D1601A"/>
    <w:rsid w:val="00D21FF6"/>
    <w:rsid w:val="00D2442B"/>
    <w:rsid w:val="00D41FBA"/>
    <w:rsid w:val="00D45C59"/>
    <w:rsid w:val="00D45C74"/>
    <w:rsid w:val="00D51D1E"/>
    <w:rsid w:val="00D53890"/>
    <w:rsid w:val="00D611B1"/>
    <w:rsid w:val="00D63C6E"/>
    <w:rsid w:val="00D6717F"/>
    <w:rsid w:val="00D867C6"/>
    <w:rsid w:val="00D87A47"/>
    <w:rsid w:val="00D92A4D"/>
    <w:rsid w:val="00DA52A2"/>
    <w:rsid w:val="00DB4DC0"/>
    <w:rsid w:val="00DC4F6B"/>
    <w:rsid w:val="00DE2DE9"/>
    <w:rsid w:val="00DF4981"/>
    <w:rsid w:val="00DF656F"/>
    <w:rsid w:val="00E1477E"/>
    <w:rsid w:val="00E2456C"/>
    <w:rsid w:val="00E26A43"/>
    <w:rsid w:val="00E276EA"/>
    <w:rsid w:val="00E300AA"/>
    <w:rsid w:val="00E41695"/>
    <w:rsid w:val="00E5181A"/>
    <w:rsid w:val="00E56B6F"/>
    <w:rsid w:val="00E71EED"/>
    <w:rsid w:val="00E737A2"/>
    <w:rsid w:val="00E83231"/>
    <w:rsid w:val="00E872B4"/>
    <w:rsid w:val="00E961EF"/>
    <w:rsid w:val="00EA18F4"/>
    <w:rsid w:val="00EA3CEE"/>
    <w:rsid w:val="00EA6747"/>
    <w:rsid w:val="00EB20E7"/>
    <w:rsid w:val="00EB38F0"/>
    <w:rsid w:val="00ED5FA4"/>
    <w:rsid w:val="00ED6160"/>
    <w:rsid w:val="00ED62DE"/>
    <w:rsid w:val="00EE61C2"/>
    <w:rsid w:val="00EF4FB8"/>
    <w:rsid w:val="00EF63EB"/>
    <w:rsid w:val="00EF7D59"/>
    <w:rsid w:val="00F013FB"/>
    <w:rsid w:val="00F102B1"/>
    <w:rsid w:val="00F16415"/>
    <w:rsid w:val="00F24DC8"/>
    <w:rsid w:val="00F27D8E"/>
    <w:rsid w:val="00F31350"/>
    <w:rsid w:val="00F341A2"/>
    <w:rsid w:val="00F37E63"/>
    <w:rsid w:val="00F466A7"/>
    <w:rsid w:val="00F579BC"/>
    <w:rsid w:val="00F63D16"/>
    <w:rsid w:val="00F67EE4"/>
    <w:rsid w:val="00F7168E"/>
    <w:rsid w:val="00F71AFC"/>
    <w:rsid w:val="00F72AD4"/>
    <w:rsid w:val="00F73B05"/>
    <w:rsid w:val="00F75C32"/>
    <w:rsid w:val="00F76087"/>
    <w:rsid w:val="00F76486"/>
    <w:rsid w:val="00F808D0"/>
    <w:rsid w:val="00F8178E"/>
    <w:rsid w:val="00F818AD"/>
    <w:rsid w:val="00F81963"/>
    <w:rsid w:val="00F86065"/>
    <w:rsid w:val="00F90B22"/>
    <w:rsid w:val="00F93015"/>
    <w:rsid w:val="00F953C0"/>
    <w:rsid w:val="00F962BD"/>
    <w:rsid w:val="00FA4EE7"/>
    <w:rsid w:val="00FA576D"/>
    <w:rsid w:val="00FB0DEC"/>
    <w:rsid w:val="00FB2FF7"/>
    <w:rsid w:val="00FC4563"/>
    <w:rsid w:val="00FD1EBA"/>
    <w:rsid w:val="00FD3772"/>
    <w:rsid w:val="00FE180F"/>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8D6914D-6E7C-4ABA-B94F-61B98CCD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MediumGrid1-Accent21">
    <w:name w:val="Medium Grid 1 - Accent 2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2C7BFC"/>
    <w:rPr>
      <w:sz w:val="16"/>
      <w:szCs w:val="16"/>
    </w:rPr>
  </w:style>
  <w:style w:type="paragraph" w:styleId="CommentText">
    <w:name w:val="annotation text"/>
    <w:basedOn w:val="Normal"/>
    <w:link w:val="CommentTextChar"/>
    <w:uiPriority w:val="99"/>
    <w:semiHidden/>
    <w:unhideWhenUsed/>
    <w:rsid w:val="002C7BFC"/>
    <w:rPr>
      <w:sz w:val="20"/>
      <w:szCs w:val="20"/>
    </w:rPr>
  </w:style>
  <w:style w:type="character" w:customStyle="1" w:styleId="CommentTextChar">
    <w:name w:val="Comment Text Char"/>
    <w:basedOn w:val="DefaultParagraphFont"/>
    <w:link w:val="CommentText"/>
    <w:uiPriority w:val="99"/>
    <w:semiHidden/>
    <w:rsid w:val="002C7BFC"/>
  </w:style>
  <w:style w:type="paragraph" w:styleId="CommentSubject">
    <w:name w:val="annotation subject"/>
    <w:basedOn w:val="CommentText"/>
    <w:next w:val="CommentText"/>
    <w:link w:val="CommentSubjectChar"/>
    <w:uiPriority w:val="99"/>
    <w:semiHidden/>
    <w:unhideWhenUsed/>
    <w:rsid w:val="002C7BFC"/>
    <w:rPr>
      <w:b/>
      <w:bCs/>
      <w:lang w:val="x-none" w:eastAsia="x-none"/>
    </w:rPr>
  </w:style>
  <w:style w:type="character" w:customStyle="1" w:styleId="CommentSubjectChar">
    <w:name w:val="Comment Subject Char"/>
    <w:link w:val="CommentSubject"/>
    <w:uiPriority w:val="99"/>
    <w:semiHidden/>
    <w:rsid w:val="002C7BFC"/>
    <w:rPr>
      <w:b/>
      <w:bCs/>
    </w:rPr>
  </w:style>
  <w:style w:type="paragraph" w:styleId="Revision">
    <w:name w:val="Revision"/>
    <w:hidden/>
    <w:uiPriority w:val="99"/>
    <w:semiHidden/>
    <w:rsid w:val="003728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262">
      <w:bodyDiv w:val="1"/>
      <w:marLeft w:val="0"/>
      <w:marRight w:val="0"/>
      <w:marTop w:val="0"/>
      <w:marBottom w:val="0"/>
      <w:divBdr>
        <w:top w:val="none" w:sz="0" w:space="0" w:color="auto"/>
        <w:left w:val="none" w:sz="0" w:space="0" w:color="auto"/>
        <w:bottom w:val="none" w:sz="0" w:space="0" w:color="auto"/>
        <w:right w:val="none" w:sz="0" w:space="0" w:color="auto"/>
      </w:divBdr>
      <w:divsChild>
        <w:div w:id="102119832">
          <w:marLeft w:val="0"/>
          <w:marRight w:val="0"/>
          <w:marTop w:val="0"/>
          <w:marBottom w:val="0"/>
          <w:divBdr>
            <w:top w:val="none" w:sz="0" w:space="0" w:color="auto"/>
            <w:left w:val="none" w:sz="0" w:space="0" w:color="auto"/>
            <w:bottom w:val="none" w:sz="0" w:space="0" w:color="auto"/>
            <w:right w:val="none" w:sz="0" w:space="0" w:color="auto"/>
          </w:divBdr>
          <w:divsChild>
            <w:div w:id="215623659">
              <w:marLeft w:val="0"/>
              <w:marRight w:val="0"/>
              <w:marTop w:val="0"/>
              <w:marBottom w:val="0"/>
              <w:divBdr>
                <w:top w:val="none" w:sz="0" w:space="0" w:color="auto"/>
                <w:left w:val="none" w:sz="0" w:space="0" w:color="auto"/>
                <w:bottom w:val="none" w:sz="0" w:space="0" w:color="auto"/>
                <w:right w:val="none" w:sz="0" w:space="0" w:color="auto"/>
              </w:divBdr>
              <w:divsChild>
                <w:div w:id="105198556">
                  <w:marLeft w:val="0"/>
                  <w:marRight w:val="0"/>
                  <w:marTop w:val="0"/>
                  <w:marBottom w:val="0"/>
                  <w:divBdr>
                    <w:top w:val="none" w:sz="0" w:space="0" w:color="auto"/>
                    <w:left w:val="none" w:sz="0" w:space="0" w:color="auto"/>
                    <w:bottom w:val="none" w:sz="0" w:space="0" w:color="auto"/>
                    <w:right w:val="none" w:sz="0" w:space="0" w:color="auto"/>
                  </w:divBdr>
                  <w:divsChild>
                    <w:div w:id="2147045315">
                      <w:marLeft w:val="0"/>
                      <w:marRight w:val="0"/>
                      <w:marTop w:val="0"/>
                      <w:marBottom w:val="0"/>
                      <w:divBdr>
                        <w:top w:val="none" w:sz="0" w:space="0" w:color="auto"/>
                        <w:left w:val="none" w:sz="0" w:space="0" w:color="auto"/>
                        <w:bottom w:val="none" w:sz="0" w:space="0" w:color="auto"/>
                        <w:right w:val="none" w:sz="0" w:space="0" w:color="auto"/>
                      </w:divBdr>
                      <w:divsChild>
                        <w:div w:id="17759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717353">
      <w:bodyDiv w:val="1"/>
      <w:marLeft w:val="0"/>
      <w:marRight w:val="0"/>
      <w:marTop w:val="0"/>
      <w:marBottom w:val="0"/>
      <w:divBdr>
        <w:top w:val="none" w:sz="0" w:space="0" w:color="auto"/>
        <w:left w:val="none" w:sz="0" w:space="0" w:color="auto"/>
        <w:bottom w:val="none" w:sz="0" w:space="0" w:color="auto"/>
        <w:right w:val="none" w:sz="0" w:space="0" w:color="auto"/>
      </w:divBdr>
      <w:divsChild>
        <w:div w:id="63143422">
          <w:marLeft w:val="0"/>
          <w:marRight w:val="0"/>
          <w:marTop w:val="0"/>
          <w:marBottom w:val="0"/>
          <w:divBdr>
            <w:top w:val="none" w:sz="0" w:space="0" w:color="auto"/>
            <w:left w:val="none" w:sz="0" w:space="0" w:color="auto"/>
            <w:bottom w:val="none" w:sz="0" w:space="0" w:color="auto"/>
            <w:right w:val="none" w:sz="0" w:space="0" w:color="auto"/>
          </w:divBdr>
          <w:divsChild>
            <w:div w:id="1286425969">
              <w:marLeft w:val="0"/>
              <w:marRight w:val="0"/>
              <w:marTop w:val="0"/>
              <w:marBottom w:val="0"/>
              <w:divBdr>
                <w:top w:val="none" w:sz="0" w:space="0" w:color="auto"/>
                <w:left w:val="none" w:sz="0" w:space="0" w:color="auto"/>
                <w:bottom w:val="none" w:sz="0" w:space="0" w:color="auto"/>
                <w:right w:val="none" w:sz="0" w:space="0" w:color="auto"/>
              </w:divBdr>
              <w:divsChild>
                <w:div w:id="352194586">
                  <w:marLeft w:val="0"/>
                  <w:marRight w:val="0"/>
                  <w:marTop w:val="0"/>
                  <w:marBottom w:val="0"/>
                  <w:divBdr>
                    <w:top w:val="none" w:sz="0" w:space="0" w:color="auto"/>
                    <w:left w:val="none" w:sz="0" w:space="0" w:color="auto"/>
                    <w:bottom w:val="none" w:sz="0" w:space="0" w:color="auto"/>
                    <w:right w:val="none" w:sz="0" w:space="0" w:color="auto"/>
                  </w:divBdr>
                  <w:divsChild>
                    <w:div w:id="1273367320">
                      <w:marLeft w:val="0"/>
                      <w:marRight w:val="0"/>
                      <w:marTop w:val="0"/>
                      <w:marBottom w:val="0"/>
                      <w:divBdr>
                        <w:top w:val="none" w:sz="0" w:space="0" w:color="auto"/>
                        <w:left w:val="none" w:sz="0" w:space="0" w:color="auto"/>
                        <w:bottom w:val="none" w:sz="0" w:space="0" w:color="auto"/>
                        <w:right w:val="none" w:sz="0" w:space="0" w:color="auto"/>
                      </w:divBdr>
                      <w:divsChild>
                        <w:div w:id="13802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52571">
      <w:bodyDiv w:val="1"/>
      <w:marLeft w:val="0"/>
      <w:marRight w:val="0"/>
      <w:marTop w:val="0"/>
      <w:marBottom w:val="0"/>
      <w:divBdr>
        <w:top w:val="none" w:sz="0" w:space="0" w:color="auto"/>
        <w:left w:val="none" w:sz="0" w:space="0" w:color="auto"/>
        <w:bottom w:val="none" w:sz="0" w:space="0" w:color="auto"/>
        <w:right w:val="none" w:sz="0" w:space="0" w:color="auto"/>
      </w:divBdr>
      <w:divsChild>
        <w:div w:id="124013110">
          <w:marLeft w:val="0"/>
          <w:marRight w:val="0"/>
          <w:marTop w:val="0"/>
          <w:marBottom w:val="0"/>
          <w:divBdr>
            <w:top w:val="none" w:sz="0" w:space="0" w:color="auto"/>
            <w:left w:val="none" w:sz="0" w:space="0" w:color="auto"/>
            <w:bottom w:val="none" w:sz="0" w:space="0" w:color="auto"/>
            <w:right w:val="none" w:sz="0" w:space="0" w:color="auto"/>
          </w:divBdr>
          <w:divsChild>
            <w:div w:id="1963074292">
              <w:marLeft w:val="0"/>
              <w:marRight w:val="0"/>
              <w:marTop w:val="0"/>
              <w:marBottom w:val="0"/>
              <w:divBdr>
                <w:top w:val="none" w:sz="0" w:space="0" w:color="auto"/>
                <w:left w:val="none" w:sz="0" w:space="0" w:color="auto"/>
                <w:bottom w:val="none" w:sz="0" w:space="0" w:color="auto"/>
                <w:right w:val="none" w:sz="0" w:space="0" w:color="auto"/>
              </w:divBdr>
              <w:divsChild>
                <w:div w:id="1654287164">
                  <w:marLeft w:val="0"/>
                  <w:marRight w:val="0"/>
                  <w:marTop w:val="0"/>
                  <w:marBottom w:val="0"/>
                  <w:divBdr>
                    <w:top w:val="none" w:sz="0" w:space="0" w:color="auto"/>
                    <w:left w:val="none" w:sz="0" w:space="0" w:color="auto"/>
                    <w:bottom w:val="none" w:sz="0" w:space="0" w:color="auto"/>
                    <w:right w:val="none" w:sz="0" w:space="0" w:color="auto"/>
                  </w:divBdr>
                  <w:divsChild>
                    <w:div w:id="995960427">
                      <w:marLeft w:val="0"/>
                      <w:marRight w:val="0"/>
                      <w:marTop w:val="0"/>
                      <w:marBottom w:val="0"/>
                      <w:divBdr>
                        <w:top w:val="none" w:sz="0" w:space="0" w:color="auto"/>
                        <w:left w:val="none" w:sz="0" w:space="0" w:color="auto"/>
                        <w:bottom w:val="none" w:sz="0" w:space="0" w:color="auto"/>
                        <w:right w:val="none" w:sz="0" w:space="0" w:color="auto"/>
                      </w:divBdr>
                      <w:divsChild>
                        <w:div w:id="7609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62808">
      <w:bodyDiv w:val="1"/>
      <w:marLeft w:val="134"/>
      <w:marRight w:val="134"/>
      <w:marTop w:val="134"/>
      <w:marBottom w:val="134"/>
      <w:divBdr>
        <w:top w:val="none" w:sz="0" w:space="0" w:color="auto"/>
        <w:left w:val="none" w:sz="0" w:space="0" w:color="auto"/>
        <w:bottom w:val="none" w:sz="0" w:space="0" w:color="auto"/>
        <w:right w:val="none" w:sz="0" w:space="0" w:color="auto"/>
      </w:divBdr>
    </w:div>
    <w:div w:id="991448949">
      <w:bodyDiv w:val="1"/>
      <w:marLeft w:val="0"/>
      <w:marRight w:val="0"/>
      <w:marTop w:val="0"/>
      <w:marBottom w:val="0"/>
      <w:divBdr>
        <w:top w:val="none" w:sz="0" w:space="0" w:color="auto"/>
        <w:left w:val="none" w:sz="0" w:space="0" w:color="auto"/>
        <w:bottom w:val="none" w:sz="0" w:space="0" w:color="auto"/>
        <w:right w:val="none" w:sz="0" w:space="0" w:color="auto"/>
      </w:divBdr>
      <w:divsChild>
        <w:div w:id="1282490050">
          <w:marLeft w:val="0"/>
          <w:marRight w:val="0"/>
          <w:marTop w:val="0"/>
          <w:marBottom w:val="0"/>
          <w:divBdr>
            <w:top w:val="none" w:sz="0" w:space="0" w:color="auto"/>
            <w:left w:val="none" w:sz="0" w:space="0" w:color="auto"/>
            <w:bottom w:val="none" w:sz="0" w:space="0" w:color="auto"/>
            <w:right w:val="none" w:sz="0" w:space="0" w:color="auto"/>
          </w:divBdr>
          <w:divsChild>
            <w:div w:id="1621641713">
              <w:marLeft w:val="0"/>
              <w:marRight w:val="0"/>
              <w:marTop w:val="0"/>
              <w:marBottom w:val="0"/>
              <w:divBdr>
                <w:top w:val="none" w:sz="0" w:space="0" w:color="auto"/>
                <w:left w:val="none" w:sz="0" w:space="0" w:color="auto"/>
                <w:bottom w:val="none" w:sz="0" w:space="0" w:color="auto"/>
                <w:right w:val="none" w:sz="0" w:space="0" w:color="auto"/>
              </w:divBdr>
              <w:divsChild>
                <w:div w:id="1796605421">
                  <w:marLeft w:val="0"/>
                  <w:marRight w:val="0"/>
                  <w:marTop w:val="0"/>
                  <w:marBottom w:val="0"/>
                  <w:divBdr>
                    <w:top w:val="none" w:sz="0" w:space="0" w:color="auto"/>
                    <w:left w:val="none" w:sz="0" w:space="0" w:color="auto"/>
                    <w:bottom w:val="none" w:sz="0" w:space="0" w:color="auto"/>
                    <w:right w:val="none" w:sz="0" w:space="0" w:color="auto"/>
                  </w:divBdr>
                  <w:divsChild>
                    <w:div w:id="1395160845">
                      <w:marLeft w:val="0"/>
                      <w:marRight w:val="0"/>
                      <w:marTop w:val="0"/>
                      <w:marBottom w:val="0"/>
                      <w:divBdr>
                        <w:top w:val="none" w:sz="0" w:space="0" w:color="auto"/>
                        <w:left w:val="none" w:sz="0" w:space="0" w:color="auto"/>
                        <w:bottom w:val="none" w:sz="0" w:space="0" w:color="auto"/>
                        <w:right w:val="none" w:sz="0" w:space="0" w:color="auto"/>
                      </w:divBdr>
                      <w:divsChild>
                        <w:div w:id="11880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467428251">
      <w:bodyDiv w:val="1"/>
      <w:marLeft w:val="134"/>
      <w:marRight w:val="134"/>
      <w:marTop w:val="134"/>
      <w:marBottom w:val="134"/>
      <w:divBdr>
        <w:top w:val="none" w:sz="0" w:space="0" w:color="auto"/>
        <w:left w:val="none" w:sz="0" w:space="0" w:color="auto"/>
        <w:bottom w:val="none" w:sz="0" w:space="0" w:color="auto"/>
        <w:right w:val="none" w:sz="0" w:space="0" w:color="auto"/>
      </w:divBdr>
    </w:div>
    <w:div w:id="1684748597">
      <w:bodyDiv w:val="1"/>
      <w:marLeft w:val="134"/>
      <w:marRight w:val="134"/>
      <w:marTop w:val="134"/>
      <w:marBottom w:val="134"/>
      <w:divBdr>
        <w:top w:val="none" w:sz="0" w:space="0" w:color="auto"/>
        <w:left w:val="none" w:sz="0" w:space="0" w:color="auto"/>
        <w:bottom w:val="none" w:sz="0" w:space="0" w:color="auto"/>
        <w:right w:val="none" w:sz="0" w:space="0" w:color="auto"/>
      </w:divBdr>
    </w:div>
    <w:div w:id="1858229767">
      <w:bodyDiv w:val="1"/>
      <w:marLeft w:val="0"/>
      <w:marRight w:val="0"/>
      <w:marTop w:val="0"/>
      <w:marBottom w:val="0"/>
      <w:divBdr>
        <w:top w:val="none" w:sz="0" w:space="0" w:color="auto"/>
        <w:left w:val="none" w:sz="0" w:space="0" w:color="auto"/>
        <w:bottom w:val="none" w:sz="0" w:space="0" w:color="auto"/>
        <w:right w:val="none" w:sz="0" w:space="0" w:color="auto"/>
      </w:divBdr>
    </w:div>
    <w:div w:id="1921793300">
      <w:bodyDiv w:val="1"/>
      <w:marLeft w:val="0"/>
      <w:marRight w:val="0"/>
      <w:marTop w:val="0"/>
      <w:marBottom w:val="0"/>
      <w:divBdr>
        <w:top w:val="none" w:sz="0" w:space="0" w:color="auto"/>
        <w:left w:val="none" w:sz="0" w:space="0" w:color="auto"/>
        <w:bottom w:val="none" w:sz="0" w:space="0" w:color="auto"/>
        <w:right w:val="none" w:sz="0" w:space="0" w:color="auto"/>
      </w:divBdr>
      <w:divsChild>
        <w:div w:id="1033383732">
          <w:marLeft w:val="0"/>
          <w:marRight w:val="0"/>
          <w:marTop w:val="0"/>
          <w:marBottom w:val="0"/>
          <w:divBdr>
            <w:top w:val="none" w:sz="0" w:space="0" w:color="auto"/>
            <w:left w:val="none" w:sz="0" w:space="0" w:color="auto"/>
            <w:bottom w:val="none" w:sz="0" w:space="0" w:color="auto"/>
            <w:right w:val="none" w:sz="0" w:space="0" w:color="auto"/>
          </w:divBdr>
          <w:divsChild>
            <w:div w:id="525674847">
              <w:marLeft w:val="0"/>
              <w:marRight w:val="0"/>
              <w:marTop w:val="0"/>
              <w:marBottom w:val="0"/>
              <w:divBdr>
                <w:top w:val="none" w:sz="0" w:space="0" w:color="auto"/>
                <w:left w:val="none" w:sz="0" w:space="0" w:color="auto"/>
                <w:bottom w:val="none" w:sz="0" w:space="0" w:color="auto"/>
                <w:right w:val="none" w:sz="0" w:space="0" w:color="auto"/>
              </w:divBdr>
              <w:divsChild>
                <w:div w:id="117071652">
                  <w:marLeft w:val="0"/>
                  <w:marRight w:val="0"/>
                  <w:marTop w:val="0"/>
                  <w:marBottom w:val="0"/>
                  <w:divBdr>
                    <w:top w:val="none" w:sz="0" w:space="0" w:color="auto"/>
                    <w:left w:val="none" w:sz="0" w:space="0" w:color="auto"/>
                    <w:bottom w:val="none" w:sz="0" w:space="0" w:color="auto"/>
                    <w:right w:val="none" w:sz="0" w:space="0" w:color="auto"/>
                  </w:divBdr>
                  <w:divsChild>
                    <w:div w:id="2003969220">
                      <w:marLeft w:val="0"/>
                      <w:marRight w:val="0"/>
                      <w:marTop w:val="0"/>
                      <w:marBottom w:val="0"/>
                      <w:divBdr>
                        <w:top w:val="none" w:sz="0" w:space="0" w:color="auto"/>
                        <w:left w:val="none" w:sz="0" w:space="0" w:color="auto"/>
                        <w:bottom w:val="none" w:sz="0" w:space="0" w:color="auto"/>
                        <w:right w:val="none" w:sz="0" w:space="0" w:color="auto"/>
                      </w:divBdr>
                      <w:divsChild>
                        <w:div w:id="19402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084457">
      <w:bodyDiv w:val="1"/>
      <w:marLeft w:val="0"/>
      <w:marRight w:val="0"/>
      <w:marTop w:val="0"/>
      <w:marBottom w:val="0"/>
      <w:divBdr>
        <w:top w:val="none" w:sz="0" w:space="0" w:color="auto"/>
        <w:left w:val="none" w:sz="0" w:space="0" w:color="auto"/>
        <w:bottom w:val="none" w:sz="0" w:space="0" w:color="auto"/>
        <w:right w:val="none" w:sz="0" w:space="0" w:color="auto"/>
      </w:divBdr>
      <w:divsChild>
        <w:div w:id="576985870">
          <w:marLeft w:val="0"/>
          <w:marRight w:val="0"/>
          <w:marTop w:val="0"/>
          <w:marBottom w:val="0"/>
          <w:divBdr>
            <w:top w:val="none" w:sz="0" w:space="0" w:color="auto"/>
            <w:left w:val="none" w:sz="0" w:space="0" w:color="auto"/>
            <w:bottom w:val="none" w:sz="0" w:space="0" w:color="auto"/>
            <w:right w:val="none" w:sz="0" w:space="0" w:color="auto"/>
          </w:divBdr>
          <w:divsChild>
            <w:div w:id="1114592646">
              <w:marLeft w:val="0"/>
              <w:marRight w:val="0"/>
              <w:marTop w:val="0"/>
              <w:marBottom w:val="0"/>
              <w:divBdr>
                <w:top w:val="none" w:sz="0" w:space="0" w:color="auto"/>
                <w:left w:val="none" w:sz="0" w:space="0" w:color="auto"/>
                <w:bottom w:val="none" w:sz="0" w:space="0" w:color="auto"/>
                <w:right w:val="none" w:sz="0" w:space="0" w:color="auto"/>
              </w:divBdr>
              <w:divsChild>
                <w:div w:id="883953036">
                  <w:marLeft w:val="0"/>
                  <w:marRight w:val="0"/>
                  <w:marTop w:val="0"/>
                  <w:marBottom w:val="0"/>
                  <w:divBdr>
                    <w:top w:val="none" w:sz="0" w:space="0" w:color="auto"/>
                    <w:left w:val="none" w:sz="0" w:space="0" w:color="auto"/>
                    <w:bottom w:val="none" w:sz="0" w:space="0" w:color="auto"/>
                    <w:right w:val="none" w:sz="0" w:space="0" w:color="auto"/>
                  </w:divBdr>
                  <w:divsChild>
                    <w:div w:id="1191576831">
                      <w:marLeft w:val="0"/>
                      <w:marRight w:val="0"/>
                      <w:marTop w:val="0"/>
                      <w:marBottom w:val="0"/>
                      <w:divBdr>
                        <w:top w:val="none" w:sz="0" w:space="0" w:color="auto"/>
                        <w:left w:val="none" w:sz="0" w:space="0" w:color="auto"/>
                        <w:bottom w:val="none" w:sz="0" w:space="0" w:color="auto"/>
                        <w:right w:val="none" w:sz="0" w:space="0" w:color="auto"/>
                      </w:divBdr>
                      <w:divsChild>
                        <w:div w:id="5516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401034">
      <w:bodyDiv w:val="1"/>
      <w:marLeft w:val="0"/>
      <w:marRight w:val="0"/>
      <w:marTop w:val="0"/>
      <w:marBottom w:val="0"/>
      <w:divBdr>
        <w:top w:val="none" w:sz="0" w:space="0" w:color="auto"/>
        <w:left w:val="none" w:sz="0" w:space="0" w:color="auto"/>
        <w:bottom w:val="none" w:sz="0" w:space="0" w:color="auto"/>
        <w:right w:val="none" w:sz="0" w:space="0" w:color="auto"/>
      </w:divBdr>
      <w:divsChild>
        <w:div w:id="365101439">
          <w:marLeft w:val="0"/>
          <w:marRight w:val="0"/>
          <w:marTop w:val="0"/>
          <w:marBottom w:val="0"/>
          <w:divBdr>
            <w:top w:val="none" w:sz="0" w:space="0" w:color="auto"/>
            <w:left w:val="none" w:sz="0" w:space="0" w:color="auto"/>
            <w:bottom w:val="none" w:sz="0" w:space="0" w:color="auto"/>
            <w:right w:val="none" w:sz="0" w:space="0" w:color="auto"/>
          </w:divBdr>
          <w:divsChild>
            <w:div w:id="824930025">
              <w:marLeft w:val="0"/>
              <w:marRight w:val="0"/>
              <w:marTop w:val="0"/>
              <w:marBottom w:val="0"/>
              <w:divBdr>
                <w:top w:val="none" w:sz="0" w:space="0" w:color="auto"/>
                <w:left w:val="none" w:sz="0" w:space="0" w:color="auto"/>
                <w:bottom w:val="none" w:sz="0" w:space="0" w:color="auto"/>
                <w:right w:val="none" w:sz="0" w:space="0" w:color="auto"/>
              </w:divBdr>
              <w:divsChild>
                <w:div w:id="2138253343">
                  <w:marLeft w:val="0"/>
                  <w:marRight w:val="0"/>
                  <w:marTop w:val="0"/>
                  <w:marBottom w:val="0"/>
                  <w:divBdr>
                    <w:top w:val="none" w:sz="0" w:space="0" w:color="auto"/>
                    <w:left w:val="none" w:sz="0" w:space="0" w:color="auto"/>
                    <w:bottom w:val="none" w:sz="0" w:space="0" w:color="auto"/>
                    <w:right w:val="none" w:sz="0" w:space="0" w:color="auto"/>
                  </w:divBdr>
                  <w:divsChild>
                    <w:div w:id="2032140521">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8525-2198-4C2D-921E-B39560F4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Douglas County PUD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Hawkins</dc:creator>
  <cp:lastModifiedBy>Debbie Kuraspediani</cp:lastModifiedBy>
  <cp:revision>2</cp:revision>
  <cp:lastPrinted>2011-01-31T20:40:00Z</cp:lastPrinted>
  <dcterms:created xsi:type="dcterms:W3CDTF">2017-02-17T16:35:00Z</dcterms:created>
  <dcterms:modified xsi:type="dcterms:W3CDTF">2017-02-17T16:35:00Z</dcterms:modified>
</cp:coreProperties>
</file>