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C5" w:rsidRPr="007A40C5" w:rsidRDefault="007A40C5" w:rsidP="007A40C5">
      <w:pPr>
        <w:keepNext/>
        <w:pBdr>
          <w:top w:val="nil"/>
          <w:left w:val="nil"/>
          <w:bottom w:val="nil"/>
          <w:right w:val="nil"/>
          <w:between w:val="nil"/>
          <w:bar w:val="nil"/>
        </w:pBdr>
        <w:spacing w:line="276" w:lineRule="auto"/>
        <w:jc w:val="center"/>
        <w:rPr>
          <w:rFonts w:cs="Calibri"/>
          <w:color w:val="000000"/>
          <w:sz w:val="32"/>
          <w:szCs w:val="32"/>
          <w:u w:color="000000"/>
          <w:bdr w:val="nil"/>
        </w:rPr>
      </w:pPr>
      <w:bookmarkStart w:id="0" w:name="_GoBack"/>
      <w:bookmarkEnd w:id="0"/>
      <w:r w:rsidRPr="007A40C5">
        <w:rPr>
          <w:rFonts w:cs="Calibri"/>
          <w:b/>
          <w:bCs/>
          <w:color w:val="000000"/>
          <w:sz w:val="32"/>
          <w:szCs w:val="32"/>
          <w:u w:color="000000"/>
          <w:bdr w:val="nil"/>
        </w:rPr>
        <w:t>Northwest Public Power Association</w:t>
      </w:r>
    </w:p>
    <w:p w:rsidR="007A40C5" w:rsidRPr="007A40C5" w:rsidRDefault="007A40C5" w:rsidP="007A40C5">
      <w:pPr>
        <w:pBdr>
          <w:top w:val="nil"/>
          <w:left w:val="nil"/>
          <w:bottom w:val="nil"/>
          <w:right w:val="nil"/>
          <w:between w:val="nil"/>
          <w:bar w:val="nil"/>
        </w:pBdr>
        <w:spacing w:line="276" w:lineRule="auto"/>
        <w:jc w:val="center"/>
        <w:rPr>
          <w:rFonts w:cs="Calibri"/>
          <w:color w:val="000000"/>
          <w:sz w:val="32"/>
          <w:szCs w:val="32"/>
          <w:u w:color="000000"/>
          <w:bdr w:val="nil"/>
        </w:rPr>
      </w:pPr>
      <w:proofErr w:type="spellStart"/>
      <w:r w:rsidRPr="007A40C5">
        <w:rPr>
          <w:rFonts w:cs="Calibri"/>
          <w:b/>
          <w:bCs/>
          <w:color w:val="000000"/>
          <w:sz w:val="32"/>
          <w:szCs w:val="32"/>
          <w:u w:color="000000"/>
          <w:bdr w:val="nil"/>
          <w:lang w:val="fr-FR"/>
        </w:rPr>
        <w:t>Resolution</w:t>
      </w:r>
      <w:proofErr w:type="spellEnd"/>
      <w:r w:rsidRPr="007A40C5">
        <w:rPr>
          <w:rFonts w:cs="Calibri"/>
          <w:b/>
          <w:bCs/>
          <w:color w:val="000000"/>
          <w:sz w:val="32"/>
          <w:szCs w:val="32"/>
          <w:u w:color="000000"/>
          <w:bdr w:val="nil"/>
          <w:lang w:val="fr-FR"/>
        </w:rPr>
        <w:t xml:space="preserve"> 201</w:t>
      </w:r>
      <w:r w:rsidRPr="007A40C5">
        <w:rPr>
          <w:rFonts w:cs="Calibri"/>
          <w:b/>
          <w:bCs/>
          <w:color w:val="000000"/>
          <w:sz w:val="32"/>
          <w:szCs w:val="32"/>
          <w:u w:color="000000"/>
          <w:bdr w:val="nil"/>
        </w:rPr>
        <w:t>7-03</w:t>
      </w:r>
    </w:p>
    <w:p w:rsidR="007A40C5" w:rsidRPr="007A40C5" w:rsidRDefault="007A40C5" w:rsidP="007A40C5">
      <w:pPr>
        <w:pBdr>
          <w:top w:val="nil"/>
          <w:left w:val="nil"/>
          <w:bottom w:val="nil"/>
          <w:right w:val="nil"/>
          <w:between w:val="nil"/>
          <w:bar w:val="nil"/>
        </w:pBdr>
        <w:spacing w:line="276" w:lineRule="auto"/>
        <w:jc w:val="center"/>
        <w:rPr>
          <w:rFonts w:cs="Calibri"/>
          <w:b/>
          <w:bCs/>
          <w:color w:val="000000"/>
          <w:sz w:val="32"/>
          <w:szCs w:val="32"/>
          <w:u w:color="000000"/>
          <w:bdr w:val="nil"/>
        </w:rPr>
      </w:pPr>
      <w:r w:rsidRPr="007A40C5">
        <w:rPr>
          <w:rFonts w:cs="Calibri"/>
          <w:b/>
          <w:bCs/>
          <w:color w:val="000000"/>
          <w:sz w:val="32"/>
          <w:szCs w:val="32"/>
          <w:u w:color="000000"/>
          <w:bdr w:val="nil"/>
        </w:rPr>
        <w:t>Protecting the Bulk Electric System from Cyber and Physical Attacks</w:t>
      </w:r>
    </w:p>
    <w:p w:rsidR="007A40C5" w:rsidRPr="007A40C5" w:rsidRDefault="007A40C5" w:rsidP="007A40C5">
      <w:pPr>
        <w:pBdr>
          <w:top w:val="nil"/>
          <w:left w:val="nil"/>
          <w:bottom w:val="nil"/>
          <w:right w:val="nil"/>
          <w:between w:val="nil"/>
          <w:bar w:val="nil"/>
        </w:pBdr>
        <w:jc w:val="center"/>
        <w:rPr>
          <w:rFonts w:cs="Calibri"/>
          <w:b/>
          <w:bCs/>
          <w:color w:val="000000"/>
          <w:sz w:val="32"/>
          <w:szCs w:val="32"/>
          <w:u w:color="000000"/>
          <w:bdr w:val="nil"/>
        </w:rPr>
      </w:pPr>
    </w:p>
    <w:p w:rsidR="007A40C5" w:rsidRPr="007A40C5" w:rsidRDefault="007A40C5" w:rsidP="007A40C5">
      <w:pPr>
        <w:pBdr>
          <w:top w:val="nil"/>
          <w:left w:val="nil"/>
          <w:bottom w:val="nil"/>
          <w:right w:val="nil"/>
          <w:between w:val="nil"/>
          <w:bar w:val="nil"/>
        </w:pBdr>
        <w:rPr>
          <w:rFonts w:cs="Calibri"/>
          <w:b/>
          <w:bCs/>
          <w:color w:val="000000"/>
          <w:sz w:val="24"/>
          <w:szCs w:val="24"/>
          <w:u w:color="000000"/>
          <w:bdr w:val="nil"/>
        </w:rPr>
      </w:pPr>
      <w:r w:rsidRPr="007A40C5">
        <w:rPr>
          <w:rFonts w:cs="Calibri"/>
          <w:b/>
          <w:bCs/>
          <w:color w:val="000000"/>
          <w:sz w:val="24"/>
          <w:szCs w:val="24"/>
          <w:u w:color="000000"/>
          <w:bdr w:val="nil"/>
        </w:rPr>
        <w:t>Background</w:t>
      </w:r>
    </w:p>
    <w:p w:rsidR="007A40C5" w:rsidRPr="007A40C5" w:rsidRDefault="007A40C5" w:rsidP="007A40C5">
      <w:pPr>
        <w:pBdr>
          <w:top w:val="nil"/>
          <w:left w:val="nil"/>
          <w:bottom w:val="nil"/>
          <w:right w:val="nil"/>
          <w:between w:val="nil"/>
          <w:bar w:val="nil"/>
        </w:pBdr>
        <w:rPr>
          <w:rFonts w:cs="Calibri"/>
          <w:b/>
          <w:bCs/>
          <w:color w:val="000000"/>
          <w:sz w:val="24"/>
          <w:szCs w:val="24"/>
          <w:u w:color="000000"/>
          <w:bdr w:val="nil"/>
        </w:rPr>
      </w:pP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supports protecting its electric infrastructure from cyber and physical attacks. In the Energy Policy Act of 2005, Congress authorized the creation of an electric reliability organization certified by the Federal Energy Regulatory Commission (FERC) and tasked with developing technical standards to ensure the reliability – including cyber security – of the bulk electric system.  The North American Electric Reliability Corporation (NERC) was certified by FERC to perform these duties. </w:t>
      </w:r>
    </w:p>
    <w:p w:rsidR="007A40C5" w:rsidRPr="007A40C5" w:rsidRDefault="007A40C5" w:rsidP="007A40C5">
      <w:pPr>
        <w:pBdr>
          <w:top w:val="nil"/>
          <w:left w:val="nil"/>
          <w:bottom w:val="nil"/>
          <w:right w:val="nil"/>
          <w:between w:val="nil"/>
          <w:bar w:val="nil"/>
        </w:pBdr>
        <w:rPr>
          <w:rFonts w:cs="Calibri"/>
          <w:b/>
          <w:bCs/>
          <w:color w:val="000000"/>
          <w:sz w:val="23"/>
          <w:szCs w:val="23"/>
          <w:u w:val="single" w:color="000000"/>
          <w:bdr w:val="nil"/>
        </w:rPr>
      </w:pP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Standards are developed through a NERC process that takes input from technical experts in all sectors of the North American utility industry and sends the standards to FERC where they are approved or remanded for modification.  Once approved, they are mandatory and enforceable. Nuclear reactors are also subject to mandatory cyber standards required by the Nuclear Regulatory Commission (NRC).  In recent years, Congress has become increasingly concerned that the North American electric grid is vulnerable to cyber attack and has debated various legislative proposals to strengthen the cyber security of the bulk electric system.  </w:t>
      </w:r>
    </w:p>
    <w:p w:rsidR="007A40C5" w:rsidRPr="007A40C5" w:rsidRDefault="007A40C5" w:rsidP="007A40C5">
      <w:pPr>
        <w:pBdr>
          <w:top w:val="nil"/>
          <w:left w:val="nil"/>
          <w:bottom w:val="nil"/>
          <w:right w:val="nil"/>
          <w:between w:val="nil"/>
          <w:bar w:val="nil"/>
        </w:pBdr>
        <w:rPr>
          <w:rFonts w:cs="Calibri"/>
          <w:b/>
          <w:bCs/>
          <w:color w:val="000000"/>
          <w:sz w:val="23"/>
          <w:szCs w:val="23"/>
          <w:u w:val="single" w:color="000000"/>
          <w:bdr w:val="nil"/>
        </w:rPr>
      </w:pPr>
      <w:r w:rsidRPr="007A40C5">
        <w:rPr>
          <w:rFonts w:cs="Calibri"/>
          <w:color w:val="000000"/>
          <w:sz w:val="23"/>
          <w:szCs w:val="23"/>
          <w:u w:color="000000"/>
          <w:bdr w:val="nil"/>
        </w:rPr>
        <w:t xml:space="preserve"> </w:t>
      </w:r>
    </w:p>
    <w:p w:rsidR="007A40C5" w:rsidRPr="007A40C5" w:rsidRDefault="007A40C5" w:rsidP="007A40C5">
      <w:pPr>
        <w:pBdr>
          <w:top w:val="nil"/>
          <w:left w:val="nil"/>
          <w:bottom w:val="nil"/>
          <w:right w:val="nil"/>
          <w:between w:val="nil"/>
          <w:bar w:val="nil"/>
        </w:pBdr>
        <w:rPr>
          <w:rFonts w:cs="Calibri"/>
          <w:b/>
          <w:bCs/>
          <w:color w:val="000000"/>
          <w:sz w:val="23"/>
          <w:szCs w:val="23"/>
          <w:u w:color="000000"/>
          <w:bdr w:val="nil"/>
        </w:rPr>
      </w:pPr>
      <w:r w:rsidRPr="007A40C5">
        <w:rPr>
          <w:rFonts w:cs="Calibri"/>
          <w:b/>
          <w:bCs/>
          <w:color w:val="000000"/>
          <w:sz w:val="23"/>
          <w:szCs w:val="23"/>
          <w:u w:color="000000"/>
          <w:bdr w:val="nil"/>
          <w:lang w:val="es-ES_tradnl"/>
        </w:rPr>
        <w:t>NWPPA</w:t>
      </w:r>
      <w:r w:rsidRPr="007A40C5">
        <w:rPr>
          <w:rFonts w:cs="Calibri"/>
          <w:b/>
          <w:bCs/>
          <w:color w:val="000000"/>
          <w:sz w:val="23"/>
          <w:szCs w:val="23"/>
          <w:u w:color="000000"/>
          <w:bdr w:val="nil"/>
        </w:rPr>
        <w:t>’</w:t>
      </w:r>
      <w:r w:rsidRPr="007A40C5">
        <w:rPr>
          <w:rFonts w:cs="Calibri"/>
          <w:b/>
          <w:bCs/>
          <w:color w:val="000000"/>
          <w:sz w:val="23"/>
          <w:szCs w:val="23"/>
          <w:u w:color="000000"/>
          <w:bdr w:val="nil"/>
          <w:lang w:val="fr-FR"/>
        </w:rPr>
        <w:t>s Position</w:t>
      </w:r>
    </w:p>
    <w:p w:rsidR="007A40C5" w:rsidRPr="007A40C5" w:rsidRDefault="007A40C5" w:rsidP="007A40C5">
      <w:pPr>
        <w:pBdr>
          <w:top w:val="nil"/>
          <w:left w:val="nil"/>
          <w:bottom w:val="nil"/>
          <w:right w:val="nil"/>
          <w:between w:val="nil"/>
          <w:bar w:val="nil"/>
        </w:pBdr>
        <w:rPr>
          <w:rFonts w:cs="Calibri"/>
          <w:color w:val="FF0000"/>
          <w:sz w:val="23"/>
          <w:szCs w:val="23"/>
          <w:u w:val="single" w:color="FF0000"/>
          <w:bdr w:val="nil"/>
        </w:rPr>
      </w:pP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val="single" w:color="000000"/>
          <w:bdr w:val="nil"/>
        </w:rPr>
      </w:pPr>
      <w:r w:rsidRPr="007A40C5">
        <w:rPr>
          <w:rFonts w:cs="Calibri"/>
          <w:color w:val="000000"/>
          <w:sz w:val="23"/>
          <w:szCs w:val="23"/>
          <w:u w:color="000000"/>
          <w:bdr w:val="nil"/>
        </w:rPr>
        <w:t xml:space="preserve">NWPPA members are actively engaged in efforts to protect the electric grid from cyber and physical attacks and ensure a reliable and safe electrical system.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val="single" w:color="000000"/>
          <w:bdr w:val="nil"/>
        </w:rPr>
      </w:pPr>
      <w:r w:rsidRPr="007A40C5">
        <w:rPr>
          <w:rFonts w:cs="Calibri"/>
          <w:color w:val="000000"/>
          <w:sz w:val="23"/>
          <w:szCs w:val="23"/>
          <w:u w:color="000000"/>
          <w:bdr w:val="nil"/>
        </w:rPr>
        <w:t>NWPPA support having a single federal agency limited, emergency power to address “imminent” cyber security threats to the Bulk Electric System.</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also supports action by the federal government to provide utilities with timely, actionable information on threats, to enable effective response.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opposes measures that would undermine the current NRC-required standards for nuclear reactors and the existing FERC/NERC process for developing cyber security standards—including measures that would give FERC authority to develop standards to address cyber vulnerabilities, that would give FERC authority over facilities beyond the Bulk Electric System, or that bypass the existing standards-setting process to address geomagnetic disturbances (GMD) or electromagnetic pulse (EMP) events.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NWPPA members are working with the electric sector and DOE, DHS, FBI and local law enforcement to enhance security measures at their critical substations.</w:t>
      </w: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p>
    <w:p w:rsidR="007A40C5" w:rsidRPr="007A40C5" w:rsidRDefault="007A40C5" w:rsidP="007A40C5">
      <w:pPr>
        <w:pBdr>
          <w:top w:val="nil"/>
          <w:left w:val="nil"/>
          <w:bottom w:val="nil"/>
          <w:right w:val="nil"/>
          <w:between w:val="nil"/>
          <w:bar w:val="nil"/>
        </w:pBdr>
        <w:rPr>
          <w:rFonts w:cs="Calibri"/>
          <w:color w:val="000000"/>
          <w:u w:color="000000"/>
          <w:bdr w:val="nil"/>
        </w:rPr>
      </w:pPr>
      <w:r w:rsidRPr="007A40C5">
        <w:rPr>
          <w:rFonts w:cs="Calibri"/>
          <w:color w:val="000000"/>
          <w:sz w:val="23"/>
          <w:szCs w:val="23"/>
          <w:u w:color="000000"/>
          <w:bdr w:val="nil"/>
        </w:rPr>
        <w:t>Origination Date: 2009. Revised in 2012, 2013, 2014, 2015, 2016 and 2017.</w:t>
      </w:r>
    </w:p>
    <w:p w:rsidR="001F7E47" w:rsidRPr="001F7E47" w:rsidRDefault="001F7E47" w:rsidP="00823E18">
      <w:pPr>
        <w:spacing w:line="276" w:lineRule="auto"/>
        <w:rPr>
          <w:rFonts w:eastAsia="Times New Roman"/>
          <w:sz w:val="24"/>
          <w:szCs w:val="24"/>
        </w:rPr>
      </w:pPr>
    </w:p>
    <w:sectPr w:rsidR="001F7E47" w:rsidRPr="001F7E47" w:rsidSect="003E67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01" w:rsidRDefault="00EB7501" w:rsidP="005668B0">
      <w:r>
        <w:separator/>
      </w:r>
    </w:p>
  </w:endnote>
  <w:endnote w:type="continuationSeparator" w:id="0">
    <w:p w:rsidR="00EB7501" w:rsidRDefault="00EB7501"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B0" w:rsidRDefault="0046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01" w:rsidRDefault="00EB7501" w:rsidP="005668B0">
      <w:r>
        <w:separator/>
      </w:r>
    </w:p>
  </w:footnote>
  <w:footnote w:type="continuationSeparator" w:id="0">
    <w:p w:rsidR="00EB7501" w:rsidRDefault="00EB7501"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6B" w:rsidRDefault="009F486B" w:rsidP="005668B0">
    <w:pPr>
      <w:pStyle w:val="Header"/>
      <w:jc w:val="center"/>
    </w:pPr>
    <w:r>
      <w:t>Page 2-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210D"/>
    <w:multiLevelType w:val="hybridMultilevel"/>
    <w:tmpl w:val="AD1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0A6"/>
    <w:multiLevelType w:val="hybridMultilevel"/>
    <w:tmpl w:val="0EA656DC"/>
    <w:numStyleLink w:val="ImportedStyle1"/>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0F85"/>
    <w:multiLevelType w:val="hybridMultilevel"/>
    <w:tmpl w:val="0EA656DC"/>
    <w:styleLink w:val="ImportedStyle1"/>
    <w:lvl w:ilvl="0" w:tplc="A4DC2D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127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2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FE86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8C8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C47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74948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DE0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5ED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1"/>
  </w:num>
  <w:num w:numId="3">
    <w:abstractNumId w:val="11"/>
  </w:num>
  <w:num w:numId="4">
    <w:abstractNumId w:val="14"/>
  </w:num>
  <w:num w:numId="5">
    <w:abstractNumId w:val="3"/>
  </w:num>
  <w:num w:numId="6">
    <w:abstractNumId w:val="9"/>
  </w:num>
  <w:num w:numId="7">
    <w:abstractNumId w:val="2"/>
  </w:num>
  <w:num w:numId="8">
    <w:abstractNumId w:val="21"/>
  </w:num>
  <w:num w:numId="9">
    <w:abstractNumId w:val="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4"/>
  </w:num>
  <w:num w:numId="14">
    <w:abstractNumId w:val="12"/>
  </w:num>
  <w:num w:numId="15">
    <w:abstractNumId w:val="18"/>
  </w:num>
  <w:num w:numId="16">
    <w:abstractNumId w:val="23"/>
  </w:num>
  <w:num w:numId="17">
    <w:abstractNumId w:val="17"/>
  </w:num>
  <w:num w:numId="18">
    <w:abstractNumId w:val="10"/>
  </w:num>
  <w:num w:numId="19">
    <w:abstractNumId w:val="22"/>
  </w:num>
  <w:num w:numId="20">
    <w:abstractNumId w:val="15"/>
  </w:num>
  <w:num w:numId="21">
    <w:abstractNumId w:val="0"/>
  </w:num>
  <w:num w:numId="22">
    <w:abstractNumId w:val="16"/>
  </w:num>
  <w:num w:numId="23">
    <w:abstractNumId w:val="2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3E9"/>
    <w:rsid w:val="00002AA3"/>
    <w:rsid w:val="00010E6A"/>
    <w:rsid w:val="00015ED6"/>
    <w:rsid w:val="000215D9"/>
    <w:rsid w:val="00026119"/>
    <w:rsid w:val="000344D4"/>
    <w:rsid w:val="00052585"/>
    <w:rsid w:val="00054011"/>
    <w:rsid w:val="00071612"/>
    <w:rsid w:val="000747B3"/>
    <w:rsid w:val="00075E86"/>
    <w:rsid w:val="00080092"/>
    <w:rsid w:val="00083531"/>
    <w:rsid w:val="00086AAD"/>
    <w:rsid w:val="000A0F47"/>
    <w:rsid w:val="000A2DFE"/>
    <w:rsid w:val="000A64B3"/>
    <w:rsid w:val="000B0316"/>
    <w:rsid w:val="000C6673"/>
    <w:rsid w:val="000D5E51"/>
    <w:rsid w:val="000E0CA6"/>
    <w:rsid w:val="000E303F"/>
    <w:rsid w:val="000E6E87"/>
    <w:rsid w:val="000F1E99"/>
    <w:rsid w:val="000F4800"/>
    <w:rsid w:val="001035DD"/>
    <w:rsid w:val="00104A3A"/>
    <w:rsid w:val="00113C37"/>
    <w:rsid w:val="00113C7E"/>
    <w:rsid w:val="0012074F"/>
    <w:rsid w:val="00120ED9"/>
    <w:rsid w:val="00127708"/>
    <w:rsid w:val="00127E62"/>
    <w:rsid w:val="00155C05"/>
    <w:rsid w:val="00165062"/>
    <w:rsid w:val="001A1044"/>
    <w:rsid w:val="001A23E0"/>
    <w:rsid w:val="001C0AC7"/>
    <w:rsid w:val="001C3D67"/>
    <w:rsid w:val="001D58AB"/>
    <w:rsid w:val="001D5C8F"/>
    <w:rsid w:val="001E13C0"/>
    <w:rsid w:val="001F14AE"/>
    <w:rsid w:val="001F5079"/>
    <w:rsid w:val="001F71A7"/>
    <w:rsid w:val="001F7E47"/>
    <w:rsid w:val="00206AA3"/>
    <w:rsid w:val="002078FA"/>
    <w:rsid w:val="00210EC7"/>
    <w:rsid w:val="002216D7"/>
    <w:rsid w:val="00224F4B"/>
    <w:rsid w:val="00233BA8"/>
    <w:rsid w:val="00235691"/>
    <w:rsid w:val="00237A22"/>
    <w:rsid w:val="00243B35"/>
    <w:rsid w:val="00244C9C"/>
    <w:rsid w:val="00245533"/>
    <w:rsid w:val="0026105F"/>
    <w:rsid w:val="002627B4"/>
    <w:rsid w:val="00265BDD"/>
    <w:rsid w:val="00265CA5"/>
    <w:rsid w:val="0028522A"/>
    <w:rsid w:val="0028732D"/>
    <w:rsid w:val="00292925"/>
    <w:rsid w:val="0029350A"/>
    <w:rsid w:val="0029621C"/>
    <w:rsid w:val="002A0DF3"/>
    <w:rsid w:val="002A232D"/>
    <w:rsid w:val="002A75BF"/>
    <w:rsid w:val="002A76C4"/>
    <w:rsid w:val="002C4015"/>
    <w:rsid w:val="002C4798"/>
    <w:rsid w:val="002C648A"/>
    <w:rsid w:val="002C68E4"/>
    <w:rsid w:val="002D059D"/>
    <w:rsid w:val="002D4E83"/>
    <w:rsid w:val="002F0818"/>
    <w:rsid w:val="002F11D9"/>
    <w:rsid w:val="00324E76"/>
    <w:rsid w:val="0032585B"/>
    <w:rsid w:val="00325CAF"/>
    <w:rsid w:val="0033294C"/>
    <w:rsid w:val="0033719D"/>
    <w:rsid w:val="003421C4"/>
    <w:rsid w:val="0034401C"/>
    <w:rsid w:val="003457B2"/>
    <w:rsid w:val="003474FA"/>
    <w:rsid w:val="00350370"/>
    <w:rsid w:val="003527E1"/>
    <w:rsid w:val="00353533"/>
    <w:rsid w:val="00356217"/>
    <w:rsid w:val="00357131"/>
    <w:rsid w:val="00363128"/>
    <w:rsid w:val="00394ECC"/>
    <w:rsid w:val="00395BF1"/>
    <w:rsid w:val="003A12D1"/>
    <w:rsid w:val="003A1D8A"/>
    <w:rsid w:val="003A42F0"/>
    <w:rsid w:val="003A48A7"/>
    <w:rsid w:val="003A5597"/>
    <w:rsid w:val="003A7A6F"/>
    <w:rsid w:val="003B1993"/>
    <w:rsid w:val="003B6722"/>
    <w:rsid w:val="003B6BFD"/>
    <w:rsid w:val="003C2A88"/>
    <w:rsid w:val="003C39CA"/>
    <w:rsid w:val="003E6758"/>
    <w:rsid w:val="00406E65"/>
    <w:rsid w:val="004117AA"/>
    <w:rsid w:val="00414751"/>
    <w:rsid w:val="00417294"/>
    <w:rsid w:val="004203D8"/>
    <w:rsid w:val="00422046"/>
    <w:rsid w:val="004341F6"/>
    <w:rsid w:val="00442734"/>
    <w:rsid w:val="0045502C"/>
    <w:rsid w:val="004613B0"/>
    <w:rsid w:val="004622C2"/>
    <w:rsid w:val="00463140"/>
    <w:rsid w:val="00475FDF"/>
    <w:rsid w:val="0048604F"/>
    <w:rsid w:val="004939F1"/>
    <w:rsid w:val="004975C8"/>
    <w:rsid w:val="004A286F"/>
    <w:rsid w:val="004A4199"/>
    <w:rsid w:val="004B3A67"/>
    <w:rsid w:val="004B68AA"/>
    <w:rsid w:val="004C24AA"/>
    <w:rsid w:val="004C7F58"/>
    <w:rsid w:val="004D0F59"/>
    <w:rsid w:val="004D1278"/>
    <w:rsid w:val="004D1B51"/>
    <w:rsid w:val="004D734E"/>
    <w:rsid w:val="004F0ADD"/>
    <w:rsid w:val="004F343D"/>
    <w:rsid w:val="00503389"/>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22A4"/>
    <w:rsid w:val="00585C5A"/>
    <w:rsid w:val="00587333"/>
    <w:rsid w:val="00593271"/>
    <w:rsid w:val="00595925"/>
    <w:rsid w:val="005A5D78"/>
    <w:rsid w:val="005B18C0"/>
    <w:rsid w:val="005B1DB4"/>
    <w:rsid w:val="005C2DC0"/>
    <w:rsid w:val="005C7D77"/>
    <w:rsid w:val="005F2B19"/>
    <w:rsid w:val="005F7AE0"/>
    <w:rsid w:val="00600601"/>
    <w:rsid w:val="00600BD7"/>
    <w:rsid w:val="0061437E"/>
    <w:rsid w:val="00623042"/>
    <w:rsid w:val="00626E3B"/>
    <w:rsid w:val="0063092A"/>
    <w:rsid w:val="00631202"/>
    <w:rsid w:val="00657A8B"/>
    <w:rsid w:val="00660857"/>
    <w:rsid w:val="00664B62"/>
    <w:rsid w:val="00671624"/>
    <w:rsid w:val="006866A5"/>
    <w:rsid w:val="006918B9"/>
    <w:rsid w:val="00691B86"/>
    <w:rsid w:val="00694156"/>
    <w:rsid w:val="006A2CE1"/>
    <w:rsid w:val="006A30E4"/>
    <w:rsid w:val="006A36E5"/>
    <w:rsid w:val="006A4B96"/>
    <w:rsid w:val="006B1018"/>
    <w:rsid w:val="006B57B7"/>
    <w:rsid w:val="006C5C76"/>
    <w:rsid w:val="006F42A7"/>
    <w:rsid w:val="007012A2"/>
    <w:rsid w:val="00702192"/>
    <w:rsid w:val="00716D02"/>
    <w:rsid w:val="00726BDA"/>
    <w:rsid w:val="0074565E"/>
    <w:rsid w:val="007468E1"/>
    <w:rsid w:val="00750978"/>
    <w:rsid w:val="007535AC"/>
    <w:rsid w:val="00755A30"/>
    <w:rsid w:val="00756A4E"/>
    <w:rsid w:val="00762DFF"/>
    <w:rsid w:val="00763B4A"/>
    <w:rsid w:val="007651A0"/>
    <w:rsid w:val="00770F4F"/>
    <w:rsid w:val="00782AD0"/>
    <w:rsid w:val="00793A6B"/>
    <w:rsid w:val="007A2A60"/>
    <w:rsid w:val="007A40C5"/>
    <w:rsid w:val="007A5813"/>
    <w:rsid w:val="007A5F43"/>
    <w:rsid w:val="007A5FBE"/>
    <w:rsid w:val="007A7676"/>
    <w:rsid w:val="007B1E0A"/>
    <w:rsid w:val="007C107C"/>
    <w:rsid w:val="007D0550"/>
    <w:rsid w:val="007D2290"/>
    <w:rsid w:val="007D5C79"/>
    <w:rsid w:val="007E6677"/>
    <w:rsid w:val="00810718"/>
    <w:rsid w:val="00823E18"/>
    <w:rsid w:val="0082521A"/>
    <w:rsid w:val="00826FC6"/>
    <w:rsid w:val="00827F4E"/>
    <w:rsid w:val="00833655"/>
    <w:rsid w:val="00844D87"/>
    <w:rsid w:val="008500B4"/>
    <w:rsid w:val="0085074F"/>
    <w:rsid w:val="00866165"/>
    <w:rsid w:val="008678DE"/>
    <w:rsid w:val="00875524"/>
    <w:rsid w:val="00882CB0"/>
    <w:rsid w:val="00886329"/>
    <w:rsid w:val="008878DA"/>
    <w:rsid w:val="00896669"/>
    <w:rsid w:val="008A54E9"/>
    <w:rsid w:val="008A6FCB"/>
    <w:rsid w:val="008B1459"/>
    <w:rsid w:val="008C3697"/>
    <w:rsid w:val="008D01DC"/>
    <w:rsid w:val="008D4E2E"/>
    <w:rsid w:val="008D7953"/>
    <w:rsid w:val="008E0726"/>
    <w:rsid w:val="008F17F6"/>
    <w:rsid w:val="008F550C"/>
    <w:rsid w:val="008F55F0"/>
    <w:rsid w:val="00911D09"/>
    <w:rsid w:val="009152A5"/>
    <w:rsid w:val="00921F6A"/>
    <w:rsid w:val="0092224C"/>
    <w:rsid w:val="00922C5C"/>
    <w:rsid w:val="0092700F"/>
    <w:rsid w:val="009356E4"/>
    <w:rsid w:val="009466D3"/>
    <w:rsid w:val="00952FCB"/>
    <w:rsid w:val="009552D4"/>
    <w:rsid w:val="00960079"/>
    <w:rsid w:val="009636D2"/>
    <w:rsid w:val="00963B38"/>
    <w:rsid w:val="00970655"/>
    <w:rsid w:val="00973C80"/>
    <w:rsid w:val="009970AD"/>
    <w:rsid w:val="009A0541"/>
    <w:rsid w:val="009A2665"/>
    <w:rsid w:val="009A44EC"/>
    <w:rsid w:val="009B1E0C"/>
    <w:rsid w:val="009B2BDF"/>
    <w:rsid w:val="009B518A"/>
    <w:rsid w:val="009E0384"/>
    <w:rsid w:val="009E1284"/>
    <w:rsid w:val="009E16A1"/>
    <w:rsid w:val="009F486B"/>
    <w:rsid w:val="00A0584D"/>
    <w:rsid w:val="00A06000"/>
    <w:rsid w:val="00A077F7"/>
    <w:rsid w:val="00A20B56"/>
    <w:rsid w:val="00A24BA2"/>
    <w:rsid w:val="00A24CF9"/>
    <w:rsid w:val="00A36C60"/>
    <w:rsid w:val="00A47001"/>
    <w:rsid w:val="00A53787"/>
    <w:rsid w:val="00A56C3B"/>
    <w:rsid w:val="00A639F1"/>
    <w:rsid w:val="00A71D18"/>
    <w:rsid w:val="00A73029"/>
    <w:rsid w:val="00A7522B"/>
    <w:rsid w:val="00A774F0"/>
    <w:rsid w:val="00A8119E"/>
    <w:rsid w:val="00A82282"/>
    <w:rsid w:val="00A8586E"/>
    <w:rsid w:val="00A860D9"/>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42C1"/>
    <w:rsid w:val="00AE4DC6"/>
    <w:rsid w:val="00AF0165"/>
    <w:rsid w:val="00AF2B81"/>
    <w:rsid w:val="00AF640A"/>
    <w:rsid w:val="00AF641C"/>
    <w:rsid w:val="00AF79C6"/>
    <w:rsid w:val="00B07A96"/>
    <w:rsid w:val="00B142BE"/>
    <w:rsid w:val="00B42867"/>
    <w:rsid w:val="00B428DB"/>
    <w:rsid w:val="00B44BFB"/>
    <w:rsid w:val="00B60E7D"/>
    <w:rsid w:val="00B6327B"/>
    <w:rsid w:val="00B65762"/>
    <w:rsid w:val="00B831F5"/>
    <w:rsid w:val="00BA2EE1"/>
    <w:rsid w:val="00BA4827"/>
    <w:rsid w:val="00BB24FE"/>
    <w:rsid w:val="00BC6E71"/>
    <w:rsid w:val="00BE5D0B"/>
    <w:rsid w:val="00BF66C8"/>
    <w:rsid w:val="00C0056E"/>
    <w:rsid w:val="00C14342"/>
    <w:rsid w:val="00C21E02"/>
    <w:rsid w:val="00C24BFC"/>
    <w:rsid w:val="00C267EC"/>
    <w:rsid w:val="00C46F62"/>
    <w:rsid w:val="00C60608"/>
    <w:rsid w:val="00CA103E"/>
    <w:rsid w:val="00CB384F"/>
    <w:rsid w:val="00CC49C0"/>
    <w:rsid w:val="00CD310B"/>
    <w:rsid w:val="00CE5B70"/>
    <w:rsid w:val="00CF43AA"/>
    <w:rsid w:val="00D016DB"/>
    <w:rsid w:val="00D0186A"/>
    <w:rsid w:val="00D05EB1"/>
    <w:rsid w:val="00D06464"/>
    <w:rsid w:val="00D10B29"/>
    <w:rsid w:val="00D1601A"/>
    <w:rsid w:val="00D21FF6"/>
    <w:rsid w:val="00D2442B"/>
    <w:rsid w:val="00D4126C"/>
    <w:rsid w:val="00D45C59"/>
    <w:rsid w:val="00D45C74"/>
    <w:rsid w:val="00D56A30"/>
    <w:rsid w:val="00D63C6E"/>
    <w:rsid w:val="00D867C6"/>
    <w:rsid w:val="00D87A47"/>
    <w:rsid w:val="00D92A4D"/>
    <w:rsid w:val="00DB4DC0"/>
    <w:rsid w:val="00DB7C74"/>
    <w:rsid w:val="00DE2DE9"/>
    <w:rsid w:val="00DF36EB"/>
    <w:rsid w:val="00DF4981"/>
    <w:rsid w:val="00E1477E"/>
    <w:rsid w:val="00E2456C"/>
    <w:rsid w:val="00E26A43"/>
    <w:rsid w:val="00E41695"/>
    <w:rsid w:val="00E5181A"/>
    <w:rsid w:val="00E56B6F"/>
    <w:rsid w:val="00E737A2"/>
    <w:rsid w:val="00E7416F"/>
    <w:rsid w:val="00E83231"/>
    <w:rsid w:val="00E872B4"/>
    <w:rsid w:val="00E87D16"/>
    <w:rsid w:val="00E961EF"/>
    <w:rsid w:val="00EA18F4"/>
    <w:rsid w:val="00EA6747"/>
    <w:rsid w:val="00EB38F0"/>
    <w:rsid w:val="00EB7501"/>
    <w:rsid w:val="00ED6160"/>
    <w:rsid w:val="00ED62DE"/>
    <w:rsid w:val="00EE61C2"/>
    <w:rsid w:val="00EF0C4C"/>
    <w:rsid w:val="00EF63EB"/>
    <w:rsid w:val="00EF7D59"/>
    <w:rsid w:val="00F013FB"/>
    <w:rsid w:val="00F16415"/>
    <w:rsid w:val="00F27D8E"/>
    <w:rsid w:val="00F31350"/>
    <w:rsid w:val="00F341A2"/>
    <w:rsid w:val="00F37E63"/>
    <w:rsid w:val="00F41497"/>
    <w:rsid w:val="00F466A7"/>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B1047"/>
    <w:rsid w:val="00FB45E9"/>
    <w:rsid w:val="00FB7A4B"/>
    <w:rsid w:val="00FC3258"/>
    <w:rsid w:val="00FC4563"/>
    <w:rsid w:val="00FD17D8"/>
    <w:rsid w:val="00FD1EBA"/>
    <w:rsid w:val="00FD3772"/>
    <w:rsid w:val="00FD6A87"/>
    <w:rsid w:val="00FE180F"/>
    <w:rsid w:val="00FE4B26"/>
    <w:rsid w:val="00FE50F6"/>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A015D37-C2ED-4F70-A09F-AA80AD84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numbering" w:customStyle="1" w:styleId="ImportedStyle1">
    <w:name w:val="Imported Style 1"/>
    <w:rsid w:val="007A40C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42FF-B649-446F-B0E7-F9F96E94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2013-02-06T16:46:00Z</cp:lastPrinted>
  <dcterms:created xsi:type="dcterms:W3CDTF">2017-03-21T20:59:00Z</dcterms:created>
  <dcterms:modified xsi:type="dcterms:W3CDTF">2017-03-21T20:59:00Z</dcterms:modified>
</cp:coreProperties>
</file>